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44F4D5D6"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Pr="00074926">
        <w:rPr>
          <w:rFonts w:ascii="Arial" w:eastAsia="Batang" w:hAnsi="Arial" w:cs="Arial"/>
          <w:b/>
          <w:bCs/>
          <w:szCs w:val="22"/>
        </w:rPr>
        <w:tab/>
      </w:r>
      <w:r w:rsidRPr="00074926">
        <w:rPr>
          <w:rFonts w:ascii="Arial" w:eastAsia="Batang" w:hAnsi="Arial" w:cs="Arial"/>
          <w:b/>
          <w:bCs/>
          <w:szCs w:val="22"/>
        </w:rPr>
        <w:tab/>
      </w:r>
      <w:r w:rsidR="009E6DE5" w:rsidRPr="009E6DE5">
        <w:rPr>
          <w:rFonts w:ascii="Arial" w:eastAsia="Batang" w:hAnsi="Arial" w:cs="Arial"/>
          <w:b/>
          <w:bCs/>
          <w:szCs w:val="22"/>
        </w:rPr>
        <w:t>R1-1908777</w:t>
      </w:r>
    </w:p>
    <w:p w14:paraId="3B0F6453" w14:textId="4B443F74" w:rsidR="00855F39" w:rsidRPr="00074926" w:rsidRDefault="007F1D9C"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Prague, CZ, August 26th – 30th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D16DFB7"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7F1D9C">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418DAE5"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D639E">
        <w:rPr>
          <w:b/>
          <w:color w:val="000000"/>
          <w:lang w:val="en-US"/>
        </w:rPr>
        <w:t>DCI Format for 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10C61466" w:rsidR="004D5BF4" w:rsidRDefault="004D5BF4" w:rsidP="004D5BF4">
      <w:pPr>
        <w:rPr>
          <w:rFonts w:eastAsia="MS Mincho"/>
          <w:lang w:val="en-US"/>
        </w:rPr>
      </w:pPr>
      <w:r>
        <w:rPr>
          <w:rFonts w:eastAsia="MS Mincho"/>
          <w:lang w:val="en-US"/>
        </w:rPr>
        <w:t>In RAN</w:t>
      </w:r>
      <w:r w:rsidR="00690683">
        <w:rPr>
          <w:rFonts w:eastAsia="MS Mincho"/>
          <w:lang w:val="en-US"/>
        </w:rPr>
        <w:t>1</w:t>
      </w:r>
      <w:r w:rsidR="007D59B0">
        <w:rPr>
          <w:rFonts w:eastAsia="MS Mincho"/>
          <w:lang w:val="en-US"/>
        </w:rPr>
        <w:t>#</w:t>
      </w:r>
      <w:r w:rsidR="00AA5907">
        <w:rPr>
          <w:rFonts w:eastAsia="MS Mincho"/>
          <w:lang w:val="en-US"/>
        </w:rPr>
        <w:t>9</w:t>
      </w:r>
      <w:r w:rsidR="000D639E">
        <w:rPr>
          <w:rFonts w:eastAsia="MS Mincho"/>
          <w:lang w:val="en-US"/>
        </w:rPr>
        <w:t>7</w:t>
      </w:r>
      <w:r>
        <w:rPr>
          <w:rFonts w:eastAsia="MS Mincho"/>
          <w:lang w:val="en-US"/>
        </w:rPr>
        <w:t xml:space="preserve">, we </w:t>
      </w:r>
      <w:r w:rsidR="00AA5907">
        <w:rPr>
          <w:rFonts w:eastAsia="MS Mincho"/>
          <w:lang w:val="en-US"/>
        </w:rPr>
        <w:t>agreed the following:</w:t>
      </w:r>
    </w:p>
    <w:p w14:paraId="1376D18A" w14:textId="77777777" w:rsidR="00877AF1" w:rsidRPr="00877AF1" w:rsidRDefault="00877AF1" w:rsidP="00877AF1">
      <w:pPr>
        <w:ind w:left="360"/>
        <w:rPr>
          <w:i/>
        </w:rPr>
      </w:pPr>
      <w:r w:rsidRPr="00877AF1">
        <w:rPr>
          <w:i/>
          <w:highlight w:val="green"/>
        </w:rPr>
        <w:t>Agreements</w:t>
      </w:r>
      <w:r w:rsidRPr="00877AF1">
        <w:rPr>
          <w:i/>
        </w:rPr>
        <w:t>:</w:t>
      </w:r>
    </w:p>
    <w:p w14:paraId="50514D56" w14:textId="77777777" w:rsidR="00877AF1" w:rsidRPr="00877AF1" w:rsidRDefault="00877AF1" w:rsidP="00877AF1">
      <w:pPr>
        <w:numPr>
          <w:ilvl w:val="0"/>
          <w:numId w:val="37"/>
        </w:numPr>
        <w:spacing w:after="0"/>
        <w:ind w:left="1080"/>
        <w:rPr>
          <w:i/>
          <w:color w:val="000000"/>
          <w:kern w:val="2"/>
          <w:lang w:eastAsia="zh-CN"/>
        </w:rPr>
      </w:pPr>
      <w:r w:rsidRPr="00877AF1">
        <w:rPr>
          <w:i/>
          <w:color w:val="000000"/>
          <w:kern w:val="2"/>
          <w:lang w:eastAsia="zh-CN"/>
        </w:rPr>
        <w:t>Support configurable TDRA table as in Rel-15 DCI format 1_1 (i.e. 0, 1, 2, 3 or 4 bits for time domain resource assignment) for the DL DCI format scheduling Rel-16 URLLC</w:t>
      </w:r>
    </w:p>
    <w:p w14:paraId="5A10AA8A" w14:textId="77777777" w:rsidR="00877AF1" w:rsidRPr="00877AF1" w:rsidRDefault="00877AF1" w:rsidP="00877AF1">
      <w:pPr>
        <w:ind w:left="360"/>
        <w:rPr>
          <w:b/>
          <w:i/>
        </w:rPr>
      </w:pPr>
    </w:p>
    <w:p w14:paraId="4C6B6937" w14:textId="77777777" w:rsidR="00877AF1" w:rsidRPr="00877AF1" w:rsidRDefault="00877AF1" w:rsidP="00877AF1">
      <w:pPr>
        <w:ind w:left="360"/>
        <w:rPr>
          <w:b/>
          <w:i/>
        </w:rPr>
      </w:pPr>
      <w:r w:rsidRPr="00877AF1">
        <w:rPr>
          <w:i/>
          <w:highlight w:val="green"/>
        </w:rPr>
        <w:t>Agreements</w:t>
      </w:r>
      <w:r w:rsidRPr="00877AF1">
        <w:rPr>
          <w:b/>
          <w:i/>
        </w:rPr>
        <w:t>:</w:t>
      </w:r>
    </w:p>
    <w:p w14:paraId="4FB05133" w14:textId="77777777" w:rsidR="00877AF1" w:rsidRPr="00877AF1" w:rsidRDefault="00877AF1" w:rsidP="00877AF1">
      <w:pPr>
        <w:spacing w:after="60"/>
        <w:ind w:left="360"/>
        <w:rPr>
          <w:i/>
          <w:color w:val="000000"/>
          <w:kern w:val="2"/>
          <w:lang w:eastAsia="zh-CN"/>
        </w:rPr>
      </w:pPr>
      <w:r w:rsidRPr="00877AF1">
        <w:rPr>
          <w:i/>
          <w:color w:val="000000"/>
          <w:kern w:val="2"/>
          <w:lang w:eastAsia="zh-CN"/>
        </w:rPr>
        <w:t xml:space="preserve">Support at least resource allocation type 1 for frequency domain resource assignment for the DCI format scheduling Rel-16 DL URLLC with one of the following modifications compared to Rel-15: </w:t>
      </w:r>
    </w:p>
    <w:p w14:paraId="3A27F2C9" w14:textId="77777777" w:rsidR="00877AF1" w:rsidRPr="00877AF1" w:rsidRDefault="00877AF1" w:rsidP="00877AF1">
      <w:pPr>
        <w:pStyle w:val="ListParagraph"/>
        <w:numPr>
          <w:ilvl w:val="0"/>
          <w:numId w:val="9"/>
        </w:numPr>
        <w:autoSpaceDE w:val="0"/>
        <w:autoSpaceDN w:val="0"/>
        <w:adjustRightInd w:val="0"/>
        <w:snapToGrid w:val="0"/>
        <w:spacing w:after="120"/>
        <w:ind w:left="1080"/>
        <w:rPr>
          <w:i/>
          <w:color w:val="000000"/>
          <w:kern w:val="2"/>
          <w:lang w:eastAsia="zh-CN"/>
        </w:rPr>
      </w:pPr>
      <w:r w:rsidRPr="00877AF1">
        <w:rPr>
          <w:b/>
          <w:i/>
          <w:color w:val="000000"/>
          <w:kern w:val="2"/>
          <w:lang w:eastAsia="zh-CN"/>
        </w:rPr>
        <w:t>Option 1</w:t>
      </w:r>
      <w:r w:rsidRPr="00877AF1">
        <w:rPr>
          <w:i/>
          <w:color w:val="000000"/>
          <w:kern w:val="2"/>
          <w:lang w:eastAsia="zh-CN"/>
        </w:rPr>
        <w:t>: a single configurable scheduling granularity applicable for both the starting point and length indication</w:t>
      </w:r>
    </w:p>
    <w:p w14:paraId="2999DA05" w14:textId="77777777" w:rsidR="00877AF1" w:rsidRPr="00877AF1" w:rsidRDefault="00877AF1" w:rsidP="00877AF1">
      <w:pPr>
        <w:pStyle w:val="ListParagraph"/>
        <w:numPr>
          <w:ilvl w:val="1"/>
          <w:numId w:val="9"/>
        </w:numPr>
        <w:autoSpaceDE w:val="0"/>
        <w:autoSpaceDN w:val="0"/>
        <w:adjustRightInd w:val="0"/>
        <w:snapToGrid w:val="0"/>
        <w:spacing w:after="120"/>
        <w:ind w:left="1800"/>
        <w:rPr>
          <w:i/>
          <w:color w:val="000000"/>
          <w:kern w:val="2"/>
          <w:lang w:eastAsia="zh-CN"/>
        </w:rPr>
      </w:pPr>
      <w:r w:rsidRPr="00877AF1">
        <w:rPr>
          <w:i/>
          <w:color w:val="000000"/>
          <w:kern w:val="2"/>
          <w:lang w:eastAsia="zh-CN"/>
        </w:rPr>
        <w:t>Alt.1: The scheduling granularity reuses the RBG sizes for RA 0 and can be configured between configuration 1 and 2 as in Rel-15</w:t>
      </w:r>
    </w:p>
    <w:p w14:paraId="0E4DB2DC" w14:textId="77777777" w:rsidR="00877AF1" w:rsidRPr="00877AF1" w:rsidRDefault="00877AF1" w:rsidP="00877AF1">
      <w:pPr>
        <w:pStyle w:val="ListParagraph"/>
        <w:numPr>
          <w:ilvl w:val="1"/>
          <w:numId w:val="9"/>
        </w:numPr>
        <w:autoSpaceDE w:val="0"/>
        <w:autoSpaceDN w:val="0"/>
        <w:adjustRightInd w:val="0"/>
        <w:snapToGrid w:val="0"/>
        <w:spacing w:after="120"/>
        <w:ind w:left="1800"/>
        <w:rPr>
          <w:i/>
          <w:color w:val="000000"/>
          <w:kern w:val="2"/>
          <w:lang w:eastAsia="zh-CN"/>
        </w:rPr>
      </w:pPr>
      <w:r w:rsidRPr="00877AF1">
        <w:rPr>
          <w:rFonts w:hint="eastAsia"/>
          <w:i/>
          <w:color w:val="000000"/>
          <w:kern w:val="2"/>
          <w:lang w:eastAsia="zh-CN"/>
        </w:rPr>
        <w:t xml:space="preserve">Alt. 2: A new RRC parameter to configure the </w:t>
      </w:r>
      <w:r w:rsidRPr="00877AF1">
        <w:rPr>
          <w:i/>
          <w:color w:val="000000"/>
          <w:kern w:val="2"/>
          <w:lang w:eastAsia="zh-CN"/>
        </w:rPr>
        <w:t>scheduling</w:t>
      </w:r>
      <w:r w:rsidRPr="00877AF1">
        <w:rPr>
          <w:rFonts w:hint="eastAsia"/>
          <w:i/>
          <w:color w:val="000000"/>
          <w:kern w:val="2"/>
          <w:lang w:eastAsia="zh-CN"/>
        </w:rPr>
        <w:t xml:space="preserve"> </w:t>
      </w:r>
      <w:r w:rsidRPr="00877AF1">
        <w:rPr>
          <w:i/>
          <w:color w:val="000000"/>
          <w:kern w:val="2"/>
          <w:lang w:eastAsia="zh-CN"/>
        </w:rPr>
        <w:t xml:space="preserve">granularity  </w:t>
      </w:r>
    </w:p>
    <w:p w14:paraId="55D34882" w14:textId="77777777" w:rsidR="00877AF1" w:rsidRPr="00877AF1" w:rsidRDefault="00877AF1" w:rsidP="00877AF1">
      <w:pPr>
        <w:pStyle w:val="ListParagraph"/>
        <w:numPr>
          <w:ilvl w:val="0"/>
          <w:numId w:val="9"/>
        </w:numPr>
        <w:autoSpaceDE w:val="0"/>
        <w:autoSpaceDN w:val="0"/>
        <w:adjustRightInd w:val="0"/>
        <w:snapToGrid w:val="0"/>
        <w:spacing w:after="120"/>
        <w:ind w:left="1080"/>
        <w:rPr>
          <w:i/>
          <w:color w:val="000000"/>
          <w:kern w:val="2"/>
          <w:lang w:eastAsia="zh-CN"/>
        </w:rPr>
      </w:pPr>
      <w:r w:rsidRPr="00877AF1">
        <w:rPr>
          <w:rFonts w:hint="eastAsia"/>
          <w:b/>
          <w:i/>
          <w:color w:val="000000"/>
          <w:kern w:val="2"/>
          <w:lang w:eastAsia="zh-CN"/>
        </w:rPr>
        <w:t>O</w:t>
      </w:r>
      <w:r w:rsidRPr="00877AF1">
        <w:rPr>
          <w:b/>
          <w:i/>
          <w:color w:val="000000"/>
          <w:kern w:val="2"/>
          <w:lang w:eastAsia="zh-CN"/>
        </w:rPr>
        <w:t>ption 2</w:t>
      </w:r>
      <w:r w:rsidRPr="00877AF1">
        <w:rPr>
          <w:i/>
          <w:color w:val="000000"/>
          <w:kern w:val="2"/>
          <w:lang w:eastAsia="zh-CN"/>
        </w:rPr>
        <w:t xml:space="preserve">: Separate configurable starting point granularity and length indication granularity </w:t>
      </w:r>
    </w:p>
    <w:p w14:paraId="5774F2A1" w14:textId="77777777" w:rsidR="00D24596" w:rsidRPr="00551C8A" w:rsidRDefault="00D24596" w:rsidP="00D24596">
      <w:pPr>
        <w:rPr>
          <w:b/>
        </w:rPr>
      </w:pPr>
    </w:p>
    <w:p w14:paraId="56F9586F" w14:textId="77777777" w:rsidR="00DF7A12" w:rsidRDefault="00DF7A12" w:rsidP="00DF7A12">
      <w:pPr>
        <w:spacing w:after="0"/>
        <w:rPr>
          <w:bCs/>
          <w:lang w:val="en-US"/>
        </w:rPr>
      </w:pPr>
    </w:p>
    <w:p w14:paraId="422FF475" w14:textId="11D1B3B8" w:rsidR="00855F39" w:rsidRDefault="004D5BF4" w:rsidP="00855F39">
      <w:pPr>
        <w:rPr>
          <w:rFonts w:eastAsia="MS Mincho"/>
          <w:lang w:val="en-US"/>
        </w:rPr>
      </w:pPr>
      <w:r>
        <w:rPr>
          <w:rFonts w:eastAsia="MS Mincho"/>
          <w:lang w:val="en-US"/>
        </w:rPr>
        <w:t xml:space="preserve">This contribution </w:t>
      </w:r>
      <w:r w:rsidR="00D24596">
        <w:rPr>
          <w:rFonts w:eastAsia="MS Mincho"/>
          <w:lang w:val="en-US"/>
        </w:rPr>
        <w:t>provide</w:t>
      </w:r>
      <w:r w:rsidR="005B2791">
        <w:rPr>
          <w:rFonts w:eastAsia="MS Mincho"/>
          <w:lang w:val="en-US"/>
        </w:rPr>
        <w:t>s</w:t>
      </w:r>
      <w:r w:rsidR="00D24596">
        <w:rPr>
          <w:rFonts w:eastAsia="MS Mincho"/>
          <w:lang w:val="en-US"/>
        </w:rPr>
        <w:t xml:space="preserve"> further considerations on </w:t>
      </w:r>
      <w:r w:rsidR="00877AF1">
        <w:rPr>
          <w:rFonts w:eastAsia="MS Mincho"/>
          <w:lang w:val="en-US"/>
        </w:rPr>
        <w:t>the DCI format for URLLC operations</w:t>
      </w:r>
      <w:r w:rsidR="00AF500B">
        <w:rPr>
          <w:rFonts w:eastAsia="MS Mincho"/>
          <w:lang w:val="en-US"/>
        </w:rPr>
        <w:t>.</w:t>
      </w:r>
      <w:r w:rsidR="00855F39">
        <w:rPr>
          <w:rFonts w:eastAsia="MS Mincho"/>
          <w:lang w:val="en-US"/>
        </w:rPr>
        <w:t xml:space="preserve">  </w:t>
      </w:r>
    </w:p>
    <w:p w14:paraId="4F3089FF" w14:textId="5D6E5A2D" w:rsidR="00C246F3" w:rsidRDefault="00855F39"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23EEFFEA" w14:textId="35301E18" w:rsidR="00203776" w:rsidRDefault="00203776" w:rsidP="00203776">
      <w:pPr>
        <w:rPr>
          <w:rFonts w:eastAsia="MS Mincho"/>
          <w:lang w:val="en-US"/>
        </w:rPr>
      </w:pPr>
      <w:r>
        <w:rPr>
          <w:rFonts w:eastAsia="MS Mincho"/>
          <w:lang w:val="en-US"/>
        </w:rPr>
        <w:t>The DCI parameters agreed to be considered for size reduction [1] are:</w:t>
      </w:r>
    </w:p>
    <w:p w14:paraId="4DA56D56" w14:textId="642C9F37"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Frequency domain resource assignment (FDRA)</w:t>
      </w:r>
    </w:p>
    <w:p w14:paraId="5E606AAF" w14:textId="5E75B1A3"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Time domain resource assignment (TDRA)</w:t>
      </w:r>
    </w:p>
    <w:p w14:paraId="33E9B1BD" w14:textId="44327314"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Modulation and coding scheme (MCS)</w:t>
      </w:r>
    </w:p>
    <w:p w14:paraId="2754644C" w14:textId="77777777"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HARQ process number</w:t>
      </w:r>
    </w:p>
    <w:p w14:paraId="6B9879C5" w14:textId="5190C393"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Redundancy version (RV)</w:t>
      </w:r>
    </w:p>
    <w:p w14:paraId="53846351" w14:textId="1727B33E"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PUCCH resource indicator (PRI)</w:t>
      </w:r>
    </w:p>
    <w:p w14:paraId="18E2F1DF" w14:textId="77777777"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PDSCH-to-HARQ_feedback timing indicator</w:t>
      </w:r>
    </w:p>
    <w:p w14:paraId="5565AA83" w14:textId="69142092" w:rsidR="00203776" w:rsidRDefault="00203776" w:rsidP="00203776">
      <w:pPr>
        <w:pStyle w:val="ListParagraph"/>
        <w:numPr>
          <w:ilvl w:val="0"/>
          <w:numId w:val="38"/>
        </w:numPr>
        <w:autoSpaceDE w:val="0"/>
        <w:autoSpaceDN w:val="0"/>
        <w:adjustRightInd w:val="0"/>
        <w:snapToGrid w:val="0"/>
        <w:spacing w:after="120"/>
        <w:rPr>
          <w:color w:val="000000"/>
          <w:kern w:val="2"/>
          <w:lang w:eastAsia="zh-CN"/>
        </w:rPr>
      </w:pPr>
      <w:r>
        <w:rPr>
          <w:color w:val="000000"/>
          <w:kern w:val="2"/>
          <w:lang w:eastAsia="zh-CN"/>
        </w:rPr>
        <w:t>Downlink assignment index (DAI)</w:t>
      </w:r>
    </w:p>
    <w:p w14:paraId="323B5EA7" w14:textId="77777777" w:rsidR="00203776" w:rsidRDefault="00203776" w:rsidP="00203776">
      <w:pPr>
        <w:rPr>
          <w:rFonts w:eastAsia="MS Mincho"/>
          <w:lang w:val="en-US"/>
        </w:rPr>
      </w:pPr>
    </w:p>
    <w:p w14:paraId="540AD558" w14:textId="32638E00" w:rsidR="00203776" w:rsidRDefault="00203776" w:rsidP="00203776">
      <w:pPr>
        <w:rPr>
          <w:rFonts w:eastAsia="MS Mincho"/>
          <w:lang w:val="en-US"/>
        </w:rPr>
      </w:pPr>
      <w:r>
        <w:rPr>
          <w:rFonts w:eastAsia="MS Mincho"/>
          <w:lang w:val="en-US"/>
        </w:rPr>
        <w:t xml:space="preserve">The PRI, </w:t>
      </w:r>
      <w:r w:rsidRPr="00203776">
        <w:rPr>
          <w:rFonts w:eastAsia="MS Mincho"/>
          <w:lang w:val="en-US"/>
        </w:rPr>
        <w:t>PDSCH-to-HARQ_feedback timing indicator</w:t>
      </w:r>
      <w:r>
        <w:rPr>
          <w:rFonts w:eastAsia="MS Mincho"/>
          <w:lang w:val="en-US"/>
        </w:rPr>
        <w:t xml:space="preserve"> and DAI are currently being </w:t>
      </w:r>
      <w:r w:rsidR="001B1893">
        <w:rPr>
          <w:rFonts w:eastAsia="MS Mincho"/>
          <w:lang w:val="en-US"/>
        </w:rPr>
        <w:t>discussed in other agenda items, i.e. UCI E</w:t>
      </w:r>
      <w:r>
        <w:rPr>
          <w:rFonts w:eastAsia="MS Mincho"/>
          <w:lang w:val="en-US"/>
        </w:rPr>
        <w:t xml:space="preserve">nhancements </w:t>
      </w:r>
      <w:r w:rsidR="001B1893">
        <w:rPr>
          <w:rFonts w:eastAsia="MS Mincho"/>
          <w:lang w:val="en-US"/>
        </w:rPr>
        <w:t xml:space="preserve">(7.2.6.2) </w:t>
      </w:r>
      <w:r>
        <w:rPr>
          <w:rFonts w:eastAsia="MS Mincho"/>
          <w:lang w:val="en-US"/>
        </w:rPr>
        <w:t xml:space="preserve">&amp; </w:t>
      </w:r>
      <w:r w:rsidR="001B1893">
        <w:rPr>
          <w:rFonts w:eastAsia="MS Mincho"/>
          <w:lang w:val="en-US"/>
        </w:rPr>
        <w:t xml:space="preserve">Enhancements to </w:t>
      </w:r>
      <w:r>
        <w:rPr>
          <w:rFonts w:eastAsia="MS Mincho"/>
          <w:lang w:val="en-US"/>
        </w:rPr>
        <w:t>Scheduling</w:t>
      </w:r>
      <w:r w:rsidR="001B1893">
        <w:rPr>
          <w:rFonts w:eastAsia="MS Mincho"/>
          <w:lang w:val="en-US"/>
        </w:rPr>
        <w:t>/HARQ (7.2.6.4) and therefore they will not be considered here.</w:t>
      </w:r>
    </w:p>
    <w:p w14:paraId="4FEC2C12" w14:textId="37419A29" w:rsidR="001B1893" w:rsidRDefault="005141B3" w:rsidP="00191488">
      <w:pPr>
        <w:pStyle w:val="Heading2"/>
        <w:numPr>
          <w:ilvl w:val="1"/>
          <w:numId w:val="8"/>
        </w:numPr>
        <w:rPr>
          <w:lang w:val="en-US"/>
        </w:rPr>
      </w:pPr>
      <w:r>
        <w:rPr>
          <w:color w:val="000000"/>
          <w:kern w:val="2"/>
          <w:lang w:eastAsia="zh-CN"/>
        </w:rPr>
        <w:t>Frequency Domain Resource Assignment (</w:t>
      </w:r>
      <w:r w:rsidR="00191488">
        <w:rPr>
          <w:lang w:val="en-US"/>
        </w:rPr>
        <w:t>FDRA</w:t>
      </w:r>
      <w:r>
        <w:rPr>
          <w:lang w:val="en-US"/>
        </w:rPr>
        <w:t>)</w:t>
      </w:r>
    </w:p>
    <w:p w14:paraId="2541D617" w14:textId="00292C65" w:rsidR="00191488" w:rsidRPr="00191488" w:rsidRDefault="00191488" w:rsidP="00191488">
      <w:pPr>
        <w:rPr>
          <w:lang w:val="en-US"/>
        </w:rPr>
      </w:pPr>
      <w:r>
        <w:rPr>
          <w:lang w:val="en-US"/>
        </w:rPr>
        <w:t>It is agreed that at least Resource Allocation Type 1 is supported and to reduce the number of bits for FDRA, a coarser granularity for the starting point and length of</w:t>
      </w:r>
      <w:r w:rsidR="00D25B95">
        <w:rPr>
          <w:lang w:val="en-US"/>
        </w:rPr>
        <w:t xml:space="preserve"> the allocation is considered</w:t>
      </w:r>
      <w:r w:rsidR="0024533F">
        <w:rPr>
          <w:lang w:val="en-US"/>
        </w:rPr>
        <w:t xml:space="preserve">, i.e. the frequency resource is </w:t>
      </w:r>
      <w:r w:rsidR="0024533F">
        <w:rPr>
          <w:lang w:val="en-US"/>
        </w:rPr>
        <w:lastRenderedPageBreak/>
        <w:t>allocated in RBG granularity instead of RB</w:t>
      </w:r>
      <w:r w:rsidR="00D25B95">
        <w:rPr>
          <w:lang w:val="en-US"/>
        </w:rPr>
        <w:t>.  Two options on the configuration of this granularity are agreed to be considered in RAN1#97:</w:t>
      </w:r>
      <w:r>
        <w:rPr>
          <w:lang w:val="en-US"/>
        </w:rPr>
        <w:t xml:space="preserve">  </w:t>
      </w:r>
    </w:p>
    <w:p w14:paraId="0C70C6F6" w14:textId="77777777" w:rsidR="00D25B95" w:rsidRPr="00877AF1" w:rsidRDefault="00D25B95" w:rsidP="00D25B95">
      <w:pPr>
        <w:pStyle w:val="ListParagraph"/>
        <w:numPr>
          <w:ilvl w:val="0"/>
          <w:numId w:val="9"/>
        </w:numPr>
        <w:autoSpaceDE w:val="0"/>
        <w:autoSpaceDN w:val="0"/>
        <w:adjustRightInd w:val="0"/>
        <w:snapToGrid w:val="0"/>
        <w:spacing w:after="120"/>
        <w:ind w:left="1080"/>
        <w:rPr>
          <w:i/>
          <w:color w:val="000000"/>
          <w:kern w:val="2"/>
          <w:lang w:eastAsia="zh-CN"/>
        </w:rPr>
      </w:pPr>
      <w:r w:rsidRPr="00877AF1">
        <w:rPr>
          <w:b/>
          <w:i/>
          <w:color w:val="000000"/>
          <w:kern w:val="2"/>
          <w:lang w:eastAsia="zh-CN"/>
        </w:rPr>
        <w:t>Option 1</w:t>
      </w:r>
      <w:r w:rsidRPr="00877AF1">
        <w:rPr>
          <w:i/>
          <w:color w:val="000000"/>
          <w:kern w:val="2"/>
          <w:lang w:eastAsia="zh-CN"/>
        </w:rPr>
        <w:t>: a single configurable scheduling granularity applicable for both the starting point and length indication</w:t>
      </w:r>
    </w:p>
    <w:p w14:paraId="5D8D7148" w14:textId="77777777" w:rsidR="00D25B95" w:rsidRPr="00877AF1" w:rsidRDefault="00D25B95" w:rsidP="00D25B95">
      <w:pPr>
        <w:pStyle w:val="ListParagraph"/>
        <w:numPr>
          <w:ilvl w:val="1"/>
          <w:numId w:val="9"/>
        </w:numPr>
        <w:autoSpaceDE w:val="0"/>
        <w:autoSpaceDN w:val="0"/>
        <w:adjustRightInd w:val="0"/>
        <w:snapToGrid w:val="0"/>
        <w:spacing w:after="120"/>
        <w:ind w:left="1800"/>
        <w:rPr>
          <w:i/>
          <w:color w:val="000000"/>
          <w:kern w:val="2"/>
          <w:lang w:eastAsia="zh-CN"/>
        </w:rPr>
      </w:pPr>
      <w:r w:rsidRPr="00877AF1">
        <w:rPr>
          <w:i/>
          <w:color w:val="000000"/>
          <w:kern w:val="2"/>
          <w:lang w:eastAsia="zh-CN"/>
        </w:rPr>
        <w:t>Alt.1: The scheduling granularity reuses the RBG sizes for RA 0 and can be configured between configuration 1 and 2 as in Rel-15</w:t>
      </w:r>
    </w:p>
    <w:p w14:paraId="163FAD8D" w14:textId="77777777" w:rsidR="00D25B95" w:rsidRPr="00877AF1" w:rsidRDefault="00D25B95" w:rsidP="00D25B95">
      <w:pPr>
        <w:pStyle w:val="ListParagraph"/>
        <w:numPr>
          <w:ilvl w:val="1"/>
          <w:numId w:val="9"/>
        </w:numPr>
        <w:autoSpaceDE w:val="0"/>
        <w:autoSpaceDN w:val="0"/>
        <w:adjustRightInd w:val="0"/>
        <w:snapToGrid w:val="0"/>
        <w:spacing w:after="120"/>
        <w:ind w:left="1800"/>
        <w:rPr>
          <w:i/>
          <w:color w:val="000000"/>
          <w:kern w:val="2"/>
          <w:lang w:eastAsia="zh-CN"/>
        </w:rPr>
      </w:pPr>
      <w:r w:rsidRPr="00877AF1">
        <w:rPr>
          <w:rFonts w:hint="eastAsia"/>
          <w:i/>
          <w:color w:val="000000"/>
          <w:kern w:val="2"/>
          <w:lang w:eastAsia="zh-CN"/>
        </w:rPr>
        <w:t xml:space="preserve">Alt. 2: A new RRC parameter to configure the </w:t>
      </w:r>
      <w:r w:rsidRPr="00877AF1">
        <w:rPr>
          <w:i/>
          <w:color w:val="000000"/>
          <w:kern w:val="2"/>
          <w:lang w:eastAsia="zh-CN"/>
        </w:rPr>
        <w:t>scheduling</w:t>
      </w:r>
      <w:r w:rsidRPr="00877AF1">
        <w:rPr>
          <w:rFonts w:hint="eastAsia"/>
          <w:i/>
          <w:color w:val="000000"/>
          <w:kern w:val="2"/>
          <w:lang w:eastAsia="zh-CN"/>
        </w:rPr>
        <w:t xml:space="preserve"> </w:t>
      </w:r>
      <w:r w:rsidRPr="00877AF1">
        <w:rPr>
          <w:i/>
          <w:color w:val="000000"/>
          <w:kern w:val="2"/>
          <w:lang w:eastAsia="zh-CN"/>
        </w:rPr>
        <w:t xml:space="preserve">granularity  </w:t>
      </w:r>
    </w:p>
    <w:p w14:paraId="23F1BE42" w14:textId="77777777" w:rsidR="00D25B95" w:rsidRPr="00877AF1" w:rsidRDefault="00D25B95" w:rsidP="00D25B95">
      <w:pPr>
        <w:pStyle w:val="ListParagraph"/>
        <w:numPr>
          <w:ilvl w:val="0"/>
          <w:numId w:val="9"/>
        </w:numPr>
        <w:autoSpaceDE w:val="0"/>
        <w:autoSpaceDN w:val="0"/>
        <w:adjustRightInd w:val="0"/>
        <w:snapToGrid w:val="0"/>
        <w:spacing w:after="120"/>
        <w:ind w:left="1080"/>
        <w:rPr>
          <w:i/>
          <w:color w:val="000000"/>
          <w:kern w:val="2"/>
          <w:lang w:eastAsia="zh-CN"/>
        </w:rPr>
      </w:pPr>
      <w:r w:rsidRPr="00877AF1">
        <w:rPr>
          <w:rFonts w:hint="eastAsia"/>
          <w:b/>
          <w:i/>
          <w:color w:val="000000"/>
          <w:kern w:val="2"/>
          <w:lang w:eastAsia="zh-CN"/>
        </w:rPr>
        <w:t>O</w:t>
      </w:r>
      <w:r w:rsidRPr="00877AF1">
        <w:rPr>
          <w:b/>
          <w:i/>
          <w:color w:val="000000"/>
          <w:kern w:val="2"/>
          <w:lang w:eastAsia="zh-CN"/>
        </w:rPr>
        <w:t>ption 2</w:t>
      </w:r>
      <w:r w:rsidRPr="00877AF1">
        <w:rPr>
          <w:i/>
          <w:color w:val="000000"/>
          <w:kern w:val="2"/>
          <w:lang w:eastAsia="zh-CN"/>
        </w:rPr>
        <w:t xml:space="preserve">: Separate configurable starting point granularity and length indication granularity </w:t>
      </w:r>
    </w:p>
    <w:p w14:paraId="0C1CC11F" w14:textId="3F40B817" w:rsidR="00D25B95" w:rsidRDefault="00D25B95" w:rsidP="00D25B95"/>
    <w:p w14:paraId="30E31403" w14:textId="3656F8A9" w:rsidR="005658A0" w:rsidRDefault="005658A0" w:rsidP="00D25B95">
      <w:r>
        <w:t>URLLC transmission can pre-empt other transmission</w:t>
      </w:r>
      <w:r w:rsidR="003A33E8">
        <w:t>s</w:t>
      </w:r>
      <w:r>
        <w:t xml:space="preserve"> such as eMBB, which would lead to retransmission of the eMBB packet.  Hence it is beneficial if the gNB can minimise such pre-emption by allowing as much flexibility as possible in allocating the URLLC transmission.  Option 2 would offer more flexibility </w:t>
      </w:r>
      <w:r w:rsidR="0024533F">
        <w:t>at the expense of slightly more RRC configuration.  Hence we have a preference for Option 2.</w:t>
      </w:r>
    </w:p>
    <w:p w14:paraId="0E8BCCCD" w14:textId="0075DD77" w:rsidR="0024533F" w:rsidRPr="0024533F" w:rsidRDefault="0024533F" w:rsidP="00D25B95">
      <w:pPr>
        <w:rPr>
          <w:b/>
        </w:rPr>
      </w:pPr>
      <w:r w:rsidRPr="0024533F">
        <w:rPr>
          <w:b/>
        </w:rPr>
        <w:t xml:space="preserve">Proposal 1: For the configuration of the FDRA granularity, the starting point granularity and the length indication granularity are separately configured. </w:t>
      </w:r>
    </w:p>
    <w:p w14:paraId="46297F41" w14:textId="77777777" w:rsidR="00D25B95" w:rsidRPr="00551C8A" w:rsidRDefault="00D25B95" w:rsidP="00D25B95">
      <w:pPr>
        <w:rPr>
          <w:b/>
        </w:rPr>
      </w:pPr>
    </w:p>
    <w:p w14:paraId="595ACE2D" w14:textId="37A04C46" w:rsidR="00144192" w:rsidRDefault="0024533F" w:rsidP="000C2901">
      <w:pPr>
        <w:rPr>
          <w:rFonts w:eastAsia="MS Mincho"/>
          <w:lang w:val="en-US"/>
        </w:rPr>
      </w:pPr>
      <w:r>
        <w:rPr>
          <w:rFonts w:eastAsia="MS Mincho"/>
          <w:lang w:val="en-US"/>
        </w:rPr>
        <w:t xml:space="preserve">Resource Allocation Type 0 allows </w:t>
      </w:r>
      <w:r w:rsidR="003A33E8">
        <w:rPr>
          <w:rFonts w:eastAsia="MS Mincho"/>
          <w:lang w:val="en-US"/>
        </w:rPr>
        <w:t xml:space="preserve">for </w:t>
      </w:r>
      <w:r>
        <w:rPr>
          <w:rFonts w:eastAsia="MS Mincho"/>
          <w:lang w:val="en-US"/>
        </w:rPr>
        <w:t xml:space="preserve">discontinuous allocations in the frequency domain, which can offer frequency diversity and also </w:t>
      </w:r>
      <w:r w:rsidR="003A33E8">
        <w:rPr>
          <w:rFonts w:eastAsia="MS Mincho"/>
          <w:lang w:val="en-US"/>
        </w:rPr>
        <w:t xml:space="preserve">provides </w:t>
      </w:r>
      <w:r>
        <w:rPr>
          <w:rFonts w:eastAsia="MS Mincho"/>
          <w:lang w:val="en-US"/>
        </w:rPr>
        <w:t>further flexibility for the gNB to minimize pre-emption.  Hence, we see a benefit to also support RA Type 0.  Since RA Type 0 already allows for different RBG size</w:t>
      </w:r>
      <w:r w:rsidR="003A33E8">
        <w:rPr>
          <w:rFonts w:eastAsia="MS Mincho"/>
          <w:lang w:val="en-US"/>
        </w:rPr>
        <w:t>s</w:t>
      </w:r>
      <w:r>
        <w:rPr>
          <w:rFonts w:eastAsia="MS Mincho"/>
          <w:lang w:val="en-US"/>
        </w:rPr>
        <w:t xml:space="preserve">, </w:t>
      </w:r>
      <w:r w:rsidR="009E6DE5">
        <w:rPr>
          <w:rFonts w:eastAsia="MS Mincho"/>
          <w:lang w:val="en-US"/>
        </w:rPr>
        <w:t>no</w:t>
      </w:r>
      <w:r>
        <w:rPr>
          <w:rFonts w:eastAsia="MS Mincho"/>
          <w:lang w:val="en-US"/>
        </w:rPr>
        <w:t xml:space="preserve"> further changes </w:t>
      </w:r>
      <w:r w:rsidR="003A33E8">
        <w:rPr>
          <w:rFonts w:eastAsia="MS Mincho"/>
          <w:lang w:val="en-US"/>
        </w:rPr>
        <w:t xml:space="preserve">are </w:t>
      </w:r>
      <w:r>
        <w:rPr>
          <w:rFonts w:eastAsia="MS Mincho"/>
          <w:lang w:val="en-US"/>
        </w:rPr>
        <w:t>required.</w:t>
      </w:r>
    </w:p>
    <w:p w14:paraId="077F2158" w14:textId="5A2E1CAE" w:rsidR="0024533F" w:rsidRPr="0024533F" w:rsidRDefault="0024533F" w:rsidP="000C2901">
      <w:pPr>
        <w:rPr>
          <w:rFonts w:eastAsia="MS Mincho"/>
          <w:b/>
          <w:lang w:val="en-US"/>
        </w:rPr>
      </w:pPr>
      <w:r w:rsidRPr="0024533F">
        <w:rPr>
          <w:rFonts w:eastAsia="MS Mincho"/>
          <w:b/>
          <w:lang w:val="en-US"/>
        </w:rPr>
        <w:t>Proposal 2: Support Resource Allocation Type 0 for frequency domain resource assignment for the DCI format scheduling Rel-16 DL URLLC.</w:t>
      </w:r>
    </w:p>
    <w:p w14:paraId="5EC942DF" w14:textId="77777777" w:rsidR="0024533F" w:rsidRDefault="0024533F" w:rsidP="000C2901">
      <w:pPr>
        <w:rPr>
          <w:rFonts w:eastAsia="MS Mincho"/>
          <w:lang w:val="en-US"/>
        </w:rPr>
      </w:pPr>
    </w:p>
    <w:p w14:paraId="6A1746DE" w14:textId="56E7F096" w:rsidR="0024533F" w:rsidRDefault="005141B3" w:rsidP="0024533F">
      <w:pPr>
        <w:pStyle w:val="Heading2"/>
        <w:numPr>
          <w:ilvl w:val="1"/>
          <w:numId w:val="8"/>
        </w:numPr>
        <w:rPr>
          <w:lang w:val="en-US"/>
        </w:rPr>
      </w:pPr>
      <w:r>
        <w:rPr>
          <w:color w:val="000000"/>
          <w:kern w:val="2"/>
          <w:lang w:eastAsia="zh-CN"/>
        </w:rPr>
        <w:t>Time Domain Resource Assignment (</w:t>
      </w:r>
      <w:r w:rsidR="0024533F">
        <w:rPr>
          <w:lang w:val="en-US"/>
        </w:rPr>
        <w:t>TDRA</w:t>
      </w:r>
      <w:r>
        <w:rPr>
          <w:lang w:val="en-US"/>
        </w:rPr>
        <w:t>)</w:t>
      </w:r>
    </w:p>
    <w:p w14:paraId="1A069508" w14:textId="1B9AE9AE" w:rsidR="0024533F" w:rsidRDefault="002732F5" w:rsidP="000C2901">
      <w:pPr>
        <w:rPr>
          <w:rFonts w:eastAsia="MS Mincho"/>
          <w:lang w:val="en-US"/>
        </w:rPr>
      </w:pPr>
      <w:r>
        <w:rPr>
          <w:rFonts w:eastAsia="MS Mincho"/>
          <w:lang w:val="en-US"/>
        </w:rPr>
        <w:t>Since URLLC has low latency requirement</w:t>
      </w:r>
      <w:r w:rsidR="003A33E8">
        <w:rPr>
          <w:rFonts w:eastAsia="MS Mincho"/>
          <w:lang w:val="en-US"/>
        </w:rPr>
        <w:t>s</w:t>
      </w:r>
      <w:r>
        <w:rPr>
          <w:rFonts w:eastAsia="MS Mincho"/>
          <w:lang w:val="en-US"/>
        </w:rPr>
        <w:t>, we expect the PDSCH transmission to start as soon as possible after the corresponding DL Grant is sent.  It was argued [2] that since URLLC is likely to have multiple PDCCH monitoring occasion</w:t>
      </w:r>
      <w:r w:rsidR="003A33E8">
        <w:rPr>
          <w:rFonts w:eastAsia="MS Mincho"/>
          <w:lang w:val="en-US"/>
        </w:rPr>
        <w:t>s</w:t>
      </w:r>
      <w:r>
        <w:rPr>
          <w:rFonts w:eastAsia="MS Mincho"/>
          <w:lang w:val="en-US"/>
        </w:rPr>
        <w:t xml:space="preserve"> in a slot, using Rel-15 TDRA would lead to a larger TDRA table thereby increasing the size of the DCI.  For example</w:t>
      </w:r>
      <w:r w:rsidR="00C06F57">
        <w:rPr>
          <w:rFonts w:eastAsia="MS Mincho"/>
          <w:lang w:val="en-US"/>
        </w:rPr>
        <w:t xml:space="preserve"> in </w:t>
      </w:r>
      <w:r w:rsidR="00C06F57">
        <w:rPr>
          <w:rFonts w:eastAsia="MS Mincho"/>
          <w:lang w:val="en-US"/>
        </w:rPr>
        <w:fldChar w:fldCharType="begin"/>
      </w:r>
      <w:r w:rsidR="00C06F57">
        <w:rPr>
          <w:rFonts w:eastAsia="MS Mincho"/>
          <w:lang w:val="en-US"/>
        </w:rPr>
        <w:instrText xml:space="preserve"> REF _Ref15552872 \h </w:instrText>
      </w:r>
      <w:r w:rsidR="00C06F57">
        <w:rPr>
          <w:rFonts w:eastAsia="MS Mincho"/>
          <w:lang w:val="en-US"/>
        </w:rPr>
      </w:r>
      <w:r w:rsidR="00C06F57">
        <w:rPr>
          <w:rFonts w:eastAsia="MS Mincho"/>
          <w:lang w:val="en-US"/>
        </w:rPr>
        <w:fldChar w:fldCharType="separate"/>
      </w:r>
      <w:r w:rsidR="00C06F57">
        <w:t xml:space="preserve">Figure </w:t>
      </w:r>
      <w:r w:rsidR="00C06F57">
        <w:rPr>
          <w:noProof/>
        </w:rPr>
        <w:t>1</w:t>
      </w:r>
      <w:r w:rsidR="00C06F57">
        <w:rPr>
          <w:rFonts w:eastAsia="MS Mincho"/>
          <w:lang w:val="en-US"/>
        </w:rPr>
        <w:fldChar w:fldCharType="end"/>
      </w:r>
      <w:r w:rsidR="00843540">
        <w:rPr>
          <w:rFonts w:eastAsia="MS Mincho"/>
          <w:lang w:val="en-US"/>
        </w:rPr>
        <w:t xml:space="preserve">, the PDCCH monitoring period is 7 OFDM symbols </w:t>
      </w:r>
      <w:r w:rsidR="00C06F57">
        <w:rPr>
          <w:rFonts w:eastAsia="MS Mincho"/>
          <w:lang w:val="en-US"/>
        </w:rPr>
        <w:t>and if we want a 4 symbol duration PDSCH to start 1 symbol after the end of DL Grant, using Rel-15 parameters, we require two entries in the TDRA table, i.e.</w:t>
      </w:r>
    </w:p>
    <w:p w14:paraId="58F2F018" w14:textId="1D6CA903" w:rsidR="00C06F57" w:rsidRDefault="00C06F57" w:rsidP="00C06F57">
      <w:pPr>
        <w:pStyle w:val="ListParagraph"/>
        <w:numPr>
          <w:ilvl w:val="0"/>
          <w:numId w:val="39"/>
        </w:numPr>
        <w:rPr>
          <w:rFonts w:eastAsia="MS Mincho"/>
          <w:lang w:val="en-US"/>
        </w:rPr>
      </w:pPr>
      <w:r w:rsidRPr="00C06F57">
        <w:rPr>
          <w:rFonts w:eastAsia="MS Mincho"/>
          <w:i/>
          <w:lang w:val="en-US"/>
        </w:rPr>
        <w:t>K</w:t>
      </w:r>
      <w:r w:rsidRPr="00C06F57">
        <w:rPr>
          <w:rFonts w:eastAsia="MS Mincho"/>
          <w:vertAlign w:val="subscript"/>
          <w:lang w:val="en-US"/>
        </w:rPr>
        <w:t>0</w:t>
      </w:r>
      <w:r>
        <w:rPr>
          <w:rFonts w:eastAsia="MS Mincho"/>
          <w:lang w:val="en-US"/>
        </w:rPr>
        <w:t xml:space="preserve">=0, </w:t>
      </w:r>
      <w:r w:rsidRPr="00C06F57">
        <w:rPr>
          <w:rFonts w:eastAsia="MS Mincho"/>
          <w:i/>
          <w:lang w:val="en-US"/>
        </w:rPr>
        <w:t>S</w:t>
      </w:r>
      <w:r>
        <w:rPr>
          <w:rFonts w:eastAsia="MS Mincho"/>
          <w:lang w:val="en-US"/>
        </w:rPr>
        <w:t xml:space="preserve">=3, </w:t>
      </w:r>
      <w:r w:rsidRPr="00C06F57">
        <w:rPr>
          <w:rFonts w:eastAsia="MS Mincho"/>
          <w:i/>
          <w:lang w:val="en-US"/>
        </w:rPr>
        <w:t>L</w:t>
      </w:r>
      <w:r>
        <w:rPr>
          <w:rFonts w:eastAsia="MS Mincho"/>
          <w:lang w:val="en-US"/>
        </w:rPr>
        <w:t>=4</w:t>
      </w:r>
    </w:p>
    <w:p w14:paraId="668D4981" w14:textId="5549D87E" w:rsidR="00C06F57" w:rsidRDefault="00C06F57" w:rsidP="00C06F57">
      <w:pPr>
        <w:pStyle w:val="ListParagraph"/>
        <w:numPr>
          <w:ilvl w:val="0"/>
          <w:numId w:val="39"/>
        </w:numPr>
        <w:rPr>
          <w:rFonts w:eastAsia="MS Mincho"/>
          <w:lang w:val="en-US"/>
        </w:rPr>
      </w:pPr>
      <w:r w:rsidRPr="00C06F57">
        <w:rPr>
          <w:rFonts w:eastAsia="MS Mincho"/>
          <w:i/>
          <w:lang w:val="en-US"/>
        </w:rPr>
        <w:t>K</w:t>
      </w:r>
      <w:r w:rsidRPr="00C06F57">
        <w:rPr>
          <w:rFonts w:eastAsia="MS Mincho"/>
          <w:vertAlign w:val="subscript"/>
          <w:lang w:val="en-US"/>
        </w:rPr>
        <w:t>0</w:t>
      </w:r>
      <w:r>
        <w:rPr>
          <w:rFonts w:eastAsia="MS Mincho"/>
          <w:lang w:val="en-US"/>
        </w:rPr>
        <w:t xml:space="preserve">=0, </w:t>
      </w:r>
      <w:r w:rsidRPr="00C06F57">
        <w:rPr>
          <w:rFonts w:eastAsia="MS Mincho"/>
          <w:i/>
          <w:lang w:val="en-US"/>
        </w:rPr>
        <w:t>S</w:t>
      </w:r>
      <w:r>
        <w:rPr>
          <w:rFonts w:eastAsia="MS Mincho"/>
          <w:lang w:val="en-US"/>
        </w:rPr>
        <w:t xml:space="preserve">=10, </w:t>
      </w:r>
      <w:r w:rsidRPr="00C06F57">
        <w:rPr>
          <w:rFonts w:eastAsia="MS Mincho"/>
          <w:i/>
          <w:lang w:val="en-US"/>
        </w:rPr>
        <w:t>L</w:t>
      </w:r>
      <w:r>
        <w:rPr>
          <w:rFonts w:eastAsia="MS Mincho"/>
          <w:lang w:val="en-US"/>
        </w:rPr>
        <w:t>=4</w:t>
      </w:r>
    </w:p>
    <w:p w14:paraId="0D033291" w14:textId="1E5D8D0C" w:rsidR="00C06F57" w:rsidRPr="00C06F57" w:rsidRDefault="00C06F57" w:rsidP="00C06F57">
      <w:pPr>
        <w:rPr>
          <w:rFonts w:eastAsia="MS Mincho"/>
          <w:lang w:val="en-US"/>
        </w:rPr>
      </w:pPr>
      <w:r>
        <w:rPr>
          <w:rFonts w:eastAsia="MS Mincho"/>
          <w:lang w:val="en-US"/>
        </w:rPr>
        <w:t>The number of entries increases with the number of PDCCH monitoring occasions per slot, e.g. if we have 7 PDCCH monitoring period</w:t>
      </w:r>
      <w:r w:rsidR="003A33E8">
        <w:rPr>
          <w:rFonts w:eastAsia="MS Mincho"/>
          <w:lang w:val="en-US"/>
        </w:rPr>
        <w:t>s</w:t>
      </w:r>
      <w:r>
        <w:rPr>
          <w:rFonts w:eastAsia="MS Mincho"/>
          <w:lang w:val="en-US"/>
        </w:rPr>
        <w:t xml:space="preserve">, </w:t>
      </w:r>
      <w:r w:rsidR="009E6DE5">
        <w:rPr>
          <w:rFonts w:eastAsia="MS Mincho"/>
          <w:lang w:val="en-US"/>
        </w:rPr>
        <w:t xml:space="preserve">for </w:t>
      </w:r>
      <w:r w:rsidR="009E6DE5" w:rsidRPr="009E6DE5">
        <w:rPr>
          <w:rFonts w:eastAsia="MS Mincho"/>
          <w:i/>
          <w:lang w:val="en-US"/>
        </w:rPr>
        <w:t>L</w:t>
      </w:r>
      <w:r w:rsidR="009E6DE5">
        <w:rPr>
          <w:rFonts w:eastAsia="MS Mincho"/>
          <w:lang w:val="en-US"/>
        </w:rPr>
        <w:t xml:space="preserve">=2 and PDSCH to start at the same time as the DL Grant, such </w:t>
      </w:r>
      <w:r>
        <w:rPr>
          <w:rFonts w:eastAsia="MS Mincho"/>
          <w:lang w:val="en-US"/>
        </w:rPr>
        <w:t xml:space="preserve">allocation </w:t>
      </w:r>
      <w:r w:rsidR="00B3776D">
        <w:rPr>
          <w:rFonts w:eastAsia="MS Mincho"/>
          <w:lang w:val="en-US"/>
        </w:rPr>
        <w:t xml:space="preserve">may </w:t>
      </w:r>
      <w:r>
        <w:rPr>
          <w:rFonts w:eastAsia="MS Mincho"/>
          <w:lang w:val="en-US"/>
        </w:rPr>
        <w:t>require 7 entries in the TDRA table</w:t>
      </w:r>
      <w:r w:rsidR="009E6DE5">
        <w:rPr>
          <w:rFonts w:eastAsia="MS Mincho"/>
          <w:lang w:val="en-US"/>
        </w:rPr>
        <w:t xml:space="preserve"> for</w:t>
      </w:r>
      <w:r>
        <w:rPr>
          <w:rFonts w:eastAsia="MS Mincho"/>
          <w:lang w:val="en-US"/>
        </w:rPr>
        <w:t>.</w:t>
      </w:r>
    </w:p>
    <w:p w14:paraId="156C1336" w14:textId="09944FF1" w:rsidR="002732F5" w:rsidRDefault="00843540" w:rsidP="00843540">
      <w:pPr>
        <w:jc w:val="center"/>
        <w:rPr>
          <w:rFonts w:eastAsia="MS Mincho"/>
          <w:lang w:val="en-US"/>
        </w:rPr>
      </w:pPr>
      <w:r>
        <w:rPr>
          <w:rFonts w:eastAsia="MS Mincho"/>
          <w:noProof/>
          <w:lang w:eastAsia="en-GB"/>
        </w:rPr>
        <w:drawing>
          <wp:inline distT="0" distB="0" distL="0" distR="0" wp14:anchorId="5F4DB786" wp14:editId="3612C820">
            <wp:extent cx="4224655" cy="2145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4655" cy="2145665"/>
                    </a:xfrm>
                    <a:prstGeom prst="rect">
                      <a:avLst/>
                    </a:prstGeom>
                    <a:noFill/>
                  </pic:spPr>
                </pic:pic>
              </a:graphicData>
            </a:graphic>
          </wp:inline>
        </w:drawing>
      </w:r>
    </w:p>
    <w:p w14:paraId="2E52E0B3" w14:textId="5E20262B" w:rsidR="00843540" w:rsidRDefault="00843540" w:rsidP="00843540">
      <w:pPr>
        <w:pStyle w:val="Caption"/>
        <w:jc w:val="center"/>
        <w:rPr>
          <w:rFonts w:eastAsia="MS Mincho"/>
          <w:lang w:val="en-US"/>
        </w:rPr>
      </w:pPr>
      <w:bookmarkStart w:id="2" w:name="_Ref15552872"/>
      <w:r>
        <w:lastRenderedPageBreak/>
        <w:t xml:space="preserve">Figure </w:t>
      </w:r>
      <w:r w:rsidR="00EE1E25">
        <w:rPr>
          <w:noProof/>
        </w:rPr>
        <w:fldChar w:fldCharType="begin"/>
      </w:r>
      <w:r w:rsidR="00EE1E25">
        <w:rPr>
          <w:noProof/>
        </w:rPr>
        <w:instrText xml:space="preserve"> SEQ Figure \* ARABIC </w:instrText>
      </w:r>
      <w:r w:rsidR="00EE1E25">
        <w:rPr>
          <w:noProof/>
        </w:rPr>
        <w:fldChar w:fldCharType="separate"/>
      </w:r>
      <w:r w:rsidR="006D73CE">
        <w:rPr>
          <w:noProof/>
        </w:rPr>
        <w:t>1</w:t>
      </w:r>
      <w:r w:rsidR="00EE1E25">
        <w:rPr>
          <w:noProof/>
        </w:rPr>
        <w:fldChar w:fldCharType="end"/>
      </w:r>
      <w:bookmarkEnd w:id="2"/>
      <w:r>
        <w:t>: Rel-15 TDRA parameters</w:t>
      </w:r>
    </w:p>
    <w:p w14:paraId="4F7441F8" w14:textId="569B0A83" w:rsidR="002732F5" w:rsidRDefault="00C06F57" w:rsidP="000C2901">
      <w:pPr>
        <w:rPr>
          <w:rFonts w:eastAsia="MS Mincho"/>
          <w:lang w:val="en-US"/>
        </w:rPr>
      </w:pPr>
      <w:r>
        <w:rPr>
          <w:rFonts w:eastAsia="MS Mincho"/>
          <w:lang w:val="en-US"/>
        </w:rPr>
        <w:t xml:space="preserve">It is therefore proposed by several companies [2] that the TDRA parameter </w:t>
      </w:r>
      <w:r w:rsidRPr="00C06F57">
        <w:rPr>
          <w:rFonts w:eastAsia="MS Mincho"/>
          <w:i/>
          <w:lang w:val="en-US"/>
        </w:rPr>
        <w:t>S</w:t>
      </w:r>
      <w:r>
        <w:rPr>
          <w:rFonts w:eastAsia="MS Mincho"/>
          <w:lang w:val="en-US"/>
        </w:rPr>
        <w:t xml:space="preserve"> is relative to the (end</w:t>
      </w:r>
      <w:r w:rsidR="009E6DE5">
        <w:rPr>
          <w:rFonts w:eastAsia="MS Mincho"/>
          <w:lang w:val="en-US"/>
        </w:rPr>
        <w:t xml:space="preserve"> or start</w:t>
      </w:r>
      <w:r>
        <w:rPr>
          <w:rFonts w:eastAsia="MS Mincho"/>
          <w:lang w:val="en-US"/>
        </w:rPr>
        <w:t xml:space="preserve">) of the DL Grant instead of it being relative to the start of the slot boundary in Rel-15.  If </w:t>
      </w:r>
      <w:r w:rsidRPr="00C06F57">
        <w:rPr>
          <w:rFonts w:eastAsia="MS Mincho"/>
          <w:i/>
          <w:lang w:val="en-US"/>
        </w:rPr>
        <w:t>S</w:t>
      </w:r>
      <w:r>
        <w:rPr>
          <w:rFonts w:eastAsia="MS Mincho"/>
          <w:lang w:val="en-US"/>
        </w:rPr>
        <w:t xml:space="preserve"> is relative to the DL Grant, then only a single entry in the TDRA table is required, e.g. for the PDSCH allocation example in </w:t>
      </w:r>
      <w:r>
        <w:rPr>
          <w:rFonts w:eastAsia="MS Mincho"/>
          <w:lang w:val="en-US"/>
        </w:rPr>
        <w:fldChar w:fldCharType="begin"/>
      </w:r>
      <w:r>
        <w:rPr>
          <w:rFonts w:eastAsia="MS Mincho"/>
          <w:lang w:val="en-US"/>
        </w:rPr>
        <w:instrText xml:space="preserve"> REF _Ref15552872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an entry where </w:t>
      </w:r>
      <w:r w:rsidRPr="00C06F57">
        <w:rPr>
          <w:rFonts w:eastAsia="MS Mincho"/>
          <w:i/>
          <w:lang w:val="en-US"/>
        </w:rPr>
        <w:t>S</w:t>
      </w:r>
      <w:r>
        <w:rPr>
          <w:rFonts w:eastAsia="MS Mincho"/>
          <w:lang w:val="en-US"/>
        </w:rPr>
        <w:t xml:space="preserve">=1 &amp; </w:t>
      </w:r>
      <w:r w:rsidRPr="00C06F57">
        <w:rPr>
          <w:rFonts w:eastAsia="MS Mincho"/>
          <w:i/>
          <w:lang w:val="en-US"/>
        </w:rPr>
        <w:t>L</w:t>
      </w:r>
      <w:r>
        <w:rPr>
          <w:rFonts w:eastAsia="MS Mincho"/>
          <w:lang w:val="en-US"/>
        </w:rPr>
        <w:t>=4 is sufficient.</w:t>
      </w:r>
    </w:p>
    <w:p w14:paraId="3A13AB46" w14:textId="05F8C9FF" w:rsidR="002732F5" w:rsidRPr="00155458" w:rsidRDefault="00C06F57" w:rsidP="000C2901">
      <w:pPr>
        <w:rPr>
          <w:rFonts w:eastAsia="MS Mincho"/>
          <w:b/>
          <w:lang w:val="en-US"/>
        </w:rPr>
      </w:pPr>
      <w:r w:rsidRPr="00155458">
        <w:rPr>
          <w:rFonts w:eastAsia="MS Mincho"/>
          <w:b/>
          <w:lang w:val="en-US"/>
        </w:rPr>
        <w:t>Observation</w:t>
      </w:r>
      <w:r w:rsidR="00155458" w:rsidRPr="00155458">
        <w:rPr>
          <w:rFonts w:eastAsia="MS Mincho"/>
          <w:b/>
          <w:lang w:val="en-US"/>
        </w:rPr>
        <w:t xml:space="preserve"> 1: Rel-15 TDRA parameters are not efficient in allocating PDSCH that require low latency for multiple PDCCH monitoring occasions per slot.</w:t>
      </w:r>
    </w:p>
    <w:p w14:paraId="2A0AECB5" w14:textId="77777777" w:rsidR="00C06F57" w:rsidRDefault="00C06F57" w:rsidP="000C2901">
      <w:pPr>
        <w:rPr>
          <w:rFonts w:eastAsia="MS Mincho"/>
          <w:lang w:val="en-US"/>
        </w:rPr>
      </w:pPr>
    </w:p>
    <w:p w14:paraId="18F03DA9" w14:textId="3469FDCD" w:rsidR="00155458" w:rsidRDefault="00155458" w:rsidP="000C2901">
      <w:pPr>
        <w:rPr>
          <w:rFonts w:eastAsia="MS Mincho"/>
          <w:lang w:val="en-US"/>
        </w:rPr>
      </w:pPr>
      <w:r>
        <w:rPr>
          <w:rFonts w:eastAsia="MS Mincho"/>
          <w:lang w:val="en-US"/>
        </w:rPr>
        <w:t xml:space="preserve">However, defining the parameter </w:t>
      </w:r>
      <w:r w:rsidRPr="00155458">
        <w:rPr>
          <w:rFonts w:eastAsia="MS Mincho"/>
          <w:i/>
          <w:lang w:val="en-US"/>
        </w:rPr>
        <w:t>S</w:t>
      </w:r>
      <w:r>
        <w:rPr>
          <w:rFonts w:eastAsia="MS Mincho"/>
          <w:lang w:val="en-US"/>
        </w:rPr>
        <w:t xml:space="preserve"> to be relative to the (end) of the DL Grant has drawbacks.  Firstly, this </w:t>
      </w:r>
      <w:r w:rsidR="00B3776D">
        <w:rPr>
          <w:rFonts w:eastAsia="MS Mincho"/>
          <w:lang w:val="en-US"/>
        </w:rPr>
        <w:t xml:space="preserve">may </w:t>
      </w:r>
      <w:r>
        <w:rPr>
          <w:rFonts w:eastAsia="MS Mincho"/>
          <w:lang w:val="en-US"/>
        </w:rPr>
        <w:t xml:space="preserve">lead to a PDSCH crossing slot boundary.  For example in </w:t>
      </w:r>
      <w:r>
        <w:rPr>
          <w:rFonts w:eastAsia="MS Mincho"/>
          <w:lang w:val="en-US"/>
        </w:rPr>
        <w:fldChar w:fldCharType="begin"/>
      </w:r>
      <w:r>
        <w:rPr>
          <w:rFonts w:eastAsia="MS Mincho"/>
          <w:lang w:val="en-US"/>
        </w:rPr>
        <w:instrText xml:space="preserve"> REF _Ref15555545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 if we have </w:t>
      </w:r>
      <w:r w:rsidRPr="00155458">
        <w:rPr>
          <w:rFonts w:eastAsia="MS Mincho"/>
          <w:i/>
          <w:lang w:val="en-US"/>
        </w:rPr>
        <w:t>S</w:t>
      </w:r>
      <w:r>
        <w:rPr>
          <w:rFonts w:eastAsia="MS Mincho"/>
          <w:lang w:val="en-US"/>
        </w:rPr>
        <w:t xml:space="preserve"> relative to the end of DL Grant and we have an entry </w:t>
      </w:r>
      <w:r w:rsidRPr="00155458">
        <w:rPr>
          <w:rFonts w:eastAsia="MS Mincho"/>
          <w:i/>
          <w:lang w:val="en-US"/>
        </w:rPr>
        <w:t>S</w:t>
      </w:r>
      <w:r>
        <w:rPr>
          <w:rFonts w:eastAsia="MS Mincho"/>
          <w:lang w:val="en-US"/>
        </w:rPr>
        <w:t xml:space="preserve">=1, </w:t>
      </w:r>
      <w:r w:rsidRPr="00155458">
        <w:rPr>
          <w:rFonts w:eastAsia="MS Mincho"/>
          <w:i/>
          <w:lang w:val="en-US"/>
        </w:rPr>
        <w:t>L</w:t>
      </w:r>
      <w:r>
        <w:rPr>
          <w:rFonts w:eastAsia="MS Mincho"/>
          <w:lang w:val="en-US"/>
        </w:rPr>
        <w:t xml:space="preserve">=7, then if the DL Grant is sent close to the slot boundary, the corresponding PDSCH will cross that slot boundary.  This is shown in </w:t>
      </w:r>
      <w:r>
        <w:rPr>
          <w:rFonts w:eastAsia="MS Mincho"/>
          <w:lang w:val="en-US"/>
        </w:rPr>
        <w:fldChar w:fldCharType="begin"/>
      </w:r>
      <w:r>
        <w:rPr>
          <w:rFonts w:eastAsia="MS Mincho"/>
          <w:lang w:val="en-US"/>
        </w:rPr>
        <w:instrText xml:space="preserve"> REF _Ref15555545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 where the DL Grant ending at time </w:t>
      </w:r>
      <w:r w:rsidRPr="00155458">
        <w:rPr>
          <w:rFonts w:eastAsia="MS Mincho"/>
          <w:i/>
          <w:lang w:val="en-US"/>
        </w:rPr>
        <w:t>t</w:t>
      </w:r>
      <w:r w:rsidRPr="00155458">
        <w:rPr>
          <w:rFonts w:eastAsia="MS Mincho"/>
          <w:vertAlign w:val="subscript"/>
          <w:lang w:val="en-US"/>
        </w:rPr>
        <w:t>4</w:t>
      </w:r>
      <w:r>
        <w:rPr>
          <w:rFonts w:eastAsia="MS Mincho"/>
          <w:lang w:val="en-US"/>
        </w:rPr>
        <w:t xml:space="preserve"> using </w:t>
      </w:r>
      <w:r w:rsidRPr="00155458">
        <w:rPr>
          <w:rFonts w:eastAsia="MS Mincho"/>
          <w:i/>
          <w:lang w:val="en-US"/>
        </w:rPr>
        <w:t>S</w:t>
      </w:r>
      <w:r>
        <w:rPr>
          <w:rFonts w:eastAsia="MS Mincho"/>
          <w:lang w:val="en-US"/>
        </w:rPr>
        <w:t xml:space="preserve">=1, </w:t>
      </w:r>
      <w:r w:rsidRPr="00155458">
        <w:rPr>
          <w:rFonts w:eastAsia="MS Mincho"/>
          <w:i/>
          <w:lang w:val="en-US"/>
        </w:rPr>
        <w:t>L</w:t>
      </w:r>
      <w:r>
        <w:rPr>
          <w:rFonts w:eastAsia="MS Mincho"/>
          <w:lang w:val="en-US"/>
        </w:rPr>
        <w:t xml:space="preserve">=7 would lead to the PDSCH starting at time </w:t>
      </w:r>
      <w:r w:rsidRPr="00155458">
        <w:rPr>
          <w:rFonts w:eastAsia="MS Mincho"/>
          <w:i/>
          <w:lang w:val="en-US"/>
        </w:rPr>
        <w:t>t</w:t>
      </w:r>
      <w:r w:rsidRPr="00155458">
        <w:rPr>
          <w:rFonts w:eastAsia="MS Mincho"/>
          <w:vertAlign w:val="subscript"/>
          <w:lang w:val="en-US"/>
        </w:rPr>
        <w:t>5</w:t>
      </w:r>
      <w:r>
        <w:rPr>
          <w:rFonts w:eastAsia="MS Mincho"/>
          <w:lang w:val="en-US"/>
        </w:rPr>
        <w:t xml:space="preserve"> to cross the slot boundary at time </w:t>
      </w:r>
      <w:r w:rsidRPr="00155458">
        <w:rPr>
          <w:rFonts w:eastAsia="MS Mincho"/>
          <w:i/>
          <w:lang w:val="en-US"/>
        </w:rPr>
        <w:t>t</w:t>
      </w:r>
      <w:r w:rsidRPr="00155458">
        <w:rPr>
          <w:rFonts w:eastAsia="MS Mincho"/>
          <w:vertAlign w:val="subscript"/>
          <w:lang w:val="en-US"/>
        </w:rPr>
        <w:t>6</w:t>
      </w:r>
      <w:r>
        <w:rPr>
          <w:rFonts w:eastAsia="MS Mincho"/>
          <w:lang w:val="en-US"/>
        </w:rPr>
        <w:t xml:space="preserve">.  It should be appreciated that in Rel-15, since the </w:t>
      </w:r>
      <w:r w:rsidRPr="00353CAF">
        <w:rPr>
          <w:rFonts w:eastAsia="MS Mincho"/>
          <w:i/>
          <w:lang w:val="en-US"/>
        </w:rPr>
        <w:t>S</w:t>
      </w:r>
      <w:r>
        <w:rPr>
          <w:rFonts w:eastAsia="MS Mincho"/>
          <w:lang w:val="en-US"/>
        </w:rPr>
        <w:t xml:space="preserve"> is relative to the slot boundary, the </w:t>
      </w:r>
      <w:r w:rsidR="006036D1">
        <w:rPr>
          <w:rFonts w:eastAsia="MS Mincho"/>
          <w:lang w:val="en-US"/>
        </w:rPr>
        <w:t xml:space="preserve">entries in the </w:t>
      </w:r>
      <w:r>
        <w:rPr>
          <w:rFonts w:eastAsia="MS Mincho"/>
          <w:lang w:val="en-US"/>
        </w:rPr>
        <w:t xml:space="preserve">TDRA </w:t>
      </w:r>
      <w:r w:rsidR="006036D1">
        <w:rPr>
          <w:rFonts w:eastAsia="MS Mincho"/>
          <w:lang w:val="en-US"/>
        </w:rPr>
        <w:t xml:space="preserve">table </w:t>
      </w:r>
      <w:r>
        <w:rPr>
          <w:rFonts w:eastAsia="MS Mincho"/>
          <w:lang w:val="en-US"/>
        </w:rPr>
        <w:t xml:space="preserve">could easily avoid any PDSCH crossing slot boundary but if </w:t>
      </w:r>
      <w:r w:rsidRPr="00353CAF">
        <w:rPr>
          <w:rFonts w:eastAsia="MS Mincho"/>
          <w:i/>
          <w:lang w:val="en-US"/>
        </w:rPr>
        <w:t>S</w:t>
      </w:r>
      <w:r>
        <w:rPr>
          <w:rFonts w:eastAsia="MS Mincho"/>
          <w:lang w:val="en-US"/>
        </w:rPr>
        <w:t xml:space="preserve"> is relative to the end of the DL Grant then </w:t>
      </w:r>
      <w:r w:rsidR="006036D1">
        <w:rPr>
          <w:rFonts w:eastAsia="MS Mincho"/>
          <w:lang w:val="en-US"/>
        </w:rPr>
        <w:t>it is harder to manage the entries in the TDRA table to avoid this</w:t>
      </w:r>
      <w:r w:rsidR="00B3776D">
        <w:rPr>
          <w:rFonts w:eastAsia="MS Mincho"/>
          <w:lang w:val="en-US"/>
        </w:rPr>
        <w:t xml:space="preserve"> since an entry may or may not lead to PDSCH crossing slot boundary depending upon the position of the DL Grant</w:t>
      </w:r>
      <w:r w:rsidR="006036D1">
        <w:rPr>
          <w:rFonts w:eastAsia="MS Mincho"/>
          <w:lang w:val="en-US"/>
        </w:rPr>
        <w:t>.</w:t>
      </w:r>
    </w:p>
    <w:p w14:paraId="61583350" w14:textId="5C765AA0" w:rsidR="00155458" w:rsidRDefault="006D73CE" w:rsidP="00155458">
      <w:pPr>
        <w:jc w:val="center"/>
        <w:rPr>
          <w:rFonts w:eastAsia="MS Mincho"/>
          <w:lang w:val="en-US"/>
        </w:rPr>
      </w:pPr>
      <w:r>
        <w:rPr>
          <w:rFonts w:eastAsia="MS Mincho"/>
          <w:noProof/>
          <w:lang w:eastAsia="en-GB"/>
        </w:rPr>
        <w:drawing>
          <wp:inline distT="0" distB="0" distL="0" distR="0" wp14:anchorId="4E87A8E3" wp14:editId="365E5883">
            <wp:extent cx="4218940" cy="22802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8940" cy="2280285"/>
                    </a:xfrm>
                    <a:prstGeom prst="rect">
                      <a:avLst/>
                    </a:prstGeom>
                    <a:noFill/>
                  </pic:spPr>
                </pic:pic>
              </a:graphicData>
            </a:graphic>
          </wp:inline>
        </w:drawing>
      </w:r>
    </w:p>
    <w:p w14:paraId="46E537AF" w14:textId="174ADAF5" w:rsidR="00155458" w:rsidRDefault="00155458" w:rsidP="00155458">
      <w:pPr>
        <w:pStyle w:val="Caption"/>
        <w:jc w:val="center"/>
        <w:rPr>
          <w:rFonts w:eastAsia="MS Mincho"/>
          <w:lang w:val="en-US"/>
        </w:rPr>
      </w:pPr>
      <w:bookmarkStart w:id="3" w:name="_Ref15555545"/>
      <w:r>
        <w:t xml:space="preserve">Figure </w:t>
      </w:r>
      <w:r w:rsidR="00EE1E25">
        <w:rPr>
          <w:noProof/>
        </w:rPr>
        <w:fldChar w:fldCharType="begin"/>
      </w:r>
      <w:r w:rsidR="00EE1E25">
        <w:rPr>
          <w:noProof/>
        </w:rPr>
        <w:instrText xml:space="preserve"> SEQ Figure \* ARABIC </w:instrText>
      </w:r>
      <w:r w:rsidR="00EE1E25">
        <w:rPr>
          <w:noProof/>
        </w:rPr>
        <w:fldChar w:fldCharType="separate"/>
      </w:r>
      <w:r w:rsidR="006D73CE">
        <w:rPr>
          <w:noProof/>
        </w:rPr>
        <w:t>2</w:t>
      </w:r>
      <w:r w:rsidR="00EE1E25">
        <w:rPr>
          <w:noProof/>
        </w:rPr>
        <w:fldChar w:fldCharType="end"/>
      </w:r>
      <w:bookmarkEnd w:id="3"/>
      <w:r>
        <w:t>: PDSCH crossing slot boundary</w:t>
      </w:r>
    </w:p>
    <w:p w14:paraId="3BE8D834" w14:textId="64D52E2B" w:rsidR="00155458" w:rsidRDefault="006036D1" w:rsidP="000C2901">
      <w:pPr>
        <w:rPr>
          <w:rFonts w:eastAsia="MS Mincho"/>
          <w:lang w:val="en-US"/>
        </w:rPr>
      </w:pPr>
      <w:r w:rsidRPr="006036D1">
        <w:rPr>
          <w:rFonts w:eastAsia="MS Mincho"/>
          <w:b/>
          <w:lang w:val="en-US"/>
        </w:rPr>
        <w:t xml:space="preserve">Observation 2: Defining the parameter </w:t>
      </w:r>
      <w:r w:rsidRPr="00350811">
        <w:rPr>
          <w:rFonts w:eastAsia="MS Mincho"/>
          <w:b/>
          <w:i/>
          <w:lang w:val="en-US"/>
        </w:rPr>
        <w:t>S</w:t>
      </w:r>
      <w:r w:rsidRPr="006036D1">
        <w:rPr>
          <w:rFonts w:eastAsia="MS Mincho"/>
          <w:b/>
          <w:lang w:val="en-US"/>
        </w:rPr>
        <w:t xml:space="preserve"> to be relative to the end of DL Grant may lead to PDSCH allocation crossing slot boundary</w:t>
      </w:r>
      <w:r>
        <w:rPr>
          <w:rFonts w:eastAsia="MS Mincho"/>
          <w:lang w:val="en-US"/>
        </w:rPr>
        <w:t>.</w:t>
      </w:r>
    </w:p>
    <w:p w14:paraId="6159243A" w14:textId="77777777" w:rsidR="006036D1" w:rsidRDefault="006036D1" w:rsidP="000C2901">
      <w:pPr>
        <w:rPr>
          <w:rFonts w:eastAsia="MS Mincho"/>
          <w:lang w:val="en-US"/>
        </w:rPr>
      </w:pPr>
    </w:p>
    <w:p w14:paraId="4BF9E62D" w14:textId="1815C637" w:rsidR="006D73CE" w:rsidRDefault="006D73CE" w:rsidP="000C2901">
      <w:pPr>
        <w:rPr>
          <w:rFonts w:eastAsia="MS Mincho"/>
          <w:lang w:val="en-US"/>
        </w:rPr>
      </w:pPr>
      <w:r>
        <w:rPr>
          <w:rFonts w:eastAsia="MS Mincho"/>
          <w:lang w:val="en-US"/>
        </w:rPr>
        <w:t xml:space="preserve">Another issue with defining </w:t>
      </w:r>
      <w:r w:rsidRPr="006D73CE">
        <w:rPr>
          <w:rFonts w:eastAsia="MS Mincho"/>
          <w:i/>
          <w:lang w:val="en-US"/>
        </w:rPr>
        <w:t>S</w:t>
      </w:r>
      <w:r>
        <w:rPr>
          <w:rFonts w:eastAsia="MS Mincho"/>
          <w:lang w:val="en-US"/>
        </w:rPr>
        <w:t xml:space="preserve"> to be relative to the end of the DL Grant is if the schedule</w:t>
      </w:r>
      <w:r w:rsidR="0018078F">
        <w:rPr>
          <w:rFonts w:eastAsia="MS Mincho"/>
          <w:lang w:val="en-US"/>
        </w:rPr>
        <w:t>r</w:t>
      </w:r>
      <w:r>
        <w:rPr>
          <w:rFonts w:eastAsia="MS Mincho"/>
          <w:lang w:val="en-US"/>
        </w:rPr>
        <w:t xml:space="preserve"> do</w:t>
      </w:r>
      <w:r w:rsidR="0018078F">
        <w:rPr>
          <w:rFonts w:eastAsia="MS Mincho"/>
          <w:lang w:val="en-US"/>
        </w:rPr>
        <w:t>es</w:t>
      </w:r>
      <w:r>
        <w:rPr>
          <w:rFonts w:eastAsia="MS Mincho"/>
          <w:lang w:val="en-US"/>
        </w:rPr>
        <w:t xml:space="preserve"> want to </w:t>
      </w:r>
      <w:r w:rsidR="00C2745F">
        <w:rPr>
          <w:rFonts w:eastAsia="MS Mincho"/>
          <w:lang w:val="en-US"/>
        </w:rPr>
        <w:t>do cross slot scheduling</w:t>
      </w:r>
      <w:r>
        <w:rPr>
          <w:rFonts w:eastAsia="MS Mincho"/>
          <w:lang w:val="en-US"/>
        </w:rPr>
        <w:t xml:space="preserve">, it will have to configure multiple entries in the TDRA table for a single such allocation. For example in </w:t>
      </w:r>
      <w:r w:rsidR="00C2745F">
        <w:rPr>
          <w:rFonts w:eastAsia="MS Mincho"/>
          <w:lang w:val="en-US"/>
        </w:rPr>
        <w:fldChar w:fldCharType="begin"/>
      </w:r>
      <w:r w:rsidR="00C2745F">
        <w:rPr>
          <w:rFonts w:eastAsia="MS Mincho"/>
          <w:lang w:val="en-US"/>
        </w:rPr>
        <w:instrText xml:space="preserve"> REF _Ref15560594 \h </w:instrText>
      </w:r>
      <w:r w:rsidR="00C2745F">
        <w:rPr>
          <w:rFonts w:eastAsia="MS Mincho"/>
          <w:lang w:val="en-US"/>
        </w:rPr>
      </w:r>
      <w:r w:rsidR="00C2745F">
        <w:rPr>
          <w:rFonts w:eastAsia="MS Mincho"/>
          <w:lang w:val="en-US"/>
        </w:rPr>
        <w:fldChar w:fldCharType="separate"/>
      </w:r>
      <w:r w:rsidR="00C2745F">
        <w:t xml:space="preserve">Figure </w:t>
      </w:r>
      <w:r w:rsidR="00C2745F">
        <w:rPr>
          <w:noProof/>
        </w:rPr>
        <w:t>3</w:t>
      </w:r>
      <w:r w:rsidR="00C2745F">
        <w:rPr>
          <w:rFonts w:eastAsia="MS Mincho"/>
          <w:lang w:val="en-US"/>
        </w:rPr>
        <w:fldChar w:fldCharType="end"/>
      </w:r>
      <w:r w:rsidR="00C2745F">
        <w:rPr>
          <w:rFonts w:eastAsia="MS Mincho"/>
          <w:lang w:val="en-US"/>
        </w:rPr>
        <w:t xml:space="preserve">, </w:t>
      </w:r>
      <w:r>
        <w:rPr>
          <w:rFonts w:eastAsia="MS Mincho"/>
          <w:lang w:val="en-US"/>
        </w:rPr>
        <w:t>if</w:t>
      </w:r>
      <w:r w:rsidR="00C2745F">
        <w:rPr>
          <w:rFonts w:eastAsia="MS Mincho"/>
          <w:lang w:val="en-US"/>
        </w:rPr>
        <w:t xml:space="preserve"> the scheduler wants to schedule a PDSCH with L=4 in the next slot that starts 2 OFDM symbols from the slot boundary, it will have to configure two entries in the TDRA table if </w:t>
      </w:r>
      <w:r w:rsidR="00C2745F" w:rsidRPr="00C2745F">
        <w:rPr>
          <w:rFonts w:eastAsia="MS Mincho"/>
          <w:i/>
          <w:lang w:val="en-US"/>
        </w:rPr>
        <w:t>S</w:t>
      </w:r>
      <w:r w:rsidR="00C2745F">
        <w:rPr>
          <w:rFonts w:eastAsia="MS Mincho"/>
          <w:lang w:val="en-US"/>
        </w:rPr>
        <w:t xml:space="preserve"> is relative to the end of the DL Grant for a 7 OFDM symbol PDCCH monitoring period, i.e. </w:t>
      </w:r>
      <w:r w:rsidR="00C2745F" w:rsidRPr="00C2745F">
        <w:rPr>
          <w:rFonts w:eastAsia="MS Mincho"/>
          <w:i/>
          <w:lang w:val="en-US"/>
        </w:rPr>
        <w:t>S</w:t>
      </w:r>
      <w:r w:rsidR="00C2745F">
        <w:rPr>
          <w:rFonts w:eastAsia="MS Mincho"/>
          <w:lang w:val="en-US"/>
        </w:rPr>
        <w:t xml:space="preserve">=14, </w:t>
      </w:r>
      <w:r w:rsidR="00C2745F" w:rsidRPr="00C2745F">
        <w:rPr>
          <w:rFonts w:eastAsia="MS Mincho"/>
          <w:i/>
          <w:lang w:val="en-US"/>
        </w:rPr>
        <w:t>L</w:t>
      </w:r>
      <w:r w:rsidR="00C2745F">
        <w:rPr>
          <w:rFonts w:eastAsia="MS Mincho"/>
          <w:lang w:val="en-US"/>
        </w:rPr>
        <w:t xml:space="preserve">=4 and </w:t>
      </w:r>
      <w:r w:rsidR="00C2745F" w:rsidRPr="00C2745F">
        <w:rPr>
          <w:rFonts w:eastAsia="MS Mincho"/>
          <w:i/>
          <w:lang w:val="en-US"/>
        </w:rPr>
        <w:t>S</w:t>
      </w:r>
      <w:r w:rsidR="00C2745F">
        <w:rPr>
          <w:rFonts w:eastAsia="MS Mincho"/>
          <w:lang w:val="en-US"/>
        </w:rPr>
        <w:t xml:space="preserve">=7, </w:t>
      </w:r>
      <w:r w:rsidR="00C2745F" w:rsidRPr="00C2745F">
        <w:rPr>
          <w:rFonts w:eastAsia="MS Mincho"/>
          <w:i/>
          <w:lang w:val="en-US"/>
        </w:rPr>
        <w:t>L</w:t>
      </w:r>
      <w:r w:rsidR="00C2745F">
        <w:rPr>
          <w:rFonts w:eastAsia="MS Mincho"/>
          <w:lang w:val="en-US"/>
        </w:rPr>
        <w:t xml:space="preserve">=4.  In contrast the Rel-15 TDRA parameters require only a single entry, i.e. </w:t>
      </w:r>
      <w:r w:rsidR="00C2745F" w:rsidRPr="00C2745F">
        <w:rPr>
          <w:rFonts w:eastAsia="MS Mincho"/>
          <w:i/>
          <w:lang w:val="en-US"/>
        </w:rPr>
        <w:t>K</w:t>
      </w:r>
      <w:r w:rsidR="00C2745F" w:rsidRPr="00C2745F">
        <w:rPr>
          <w:rFonts w:eastAsia="MS Mincho"/>
          <w:vertAlign w:val="subscript"/>
          <w:lang w:val="en-US"/>
        </w:rPr>
        <w:t>0</w:t>
      </w:r>
      <w:r w:rsidR="00C2745F">
        <w:rPr>
          <w:rFonts w:eastAsia="MS Mincho"/>
          <w:lang w:val="en-US"/>
        </w:rPr>
        <w:t xml:space="preserve">=1, </w:t>
      </w:r>
      <w:r w:rsidR="00C2745F" w:rsidRPr="00C2745F">
        <w:rPr>
          <w:rFonts w:eastAsia="MS Mincho"/>
          <w:i/>
          <w:lang w:val="en-US"/>
        </w:rPr>
        <w:t>S</w:t>
      </w:r>
      <w:r w:rsidR="00C2745F">
        <w:rPr>
          <w:rFonts w:eastAsia="MS Mincho"/>
          <w:lang w:val="en-US"/>
        </w:rPr>
        <w:t xml:space="preserve">=2, </w:t>
      </w:r>
      <w:r w:rsidR="00C2745F" w:rsidRPr="00C2745F">
        <w:rPr>
          <w:rFonts w:eastAsia="MS Mincho"/>
          <w:i/>
          <w:lang w:val="en-US"/>
        </w:rPr>
        <w:t>L</w:t>
      </w:r>
      <w:r w:rsidR="00C2745F">
        <w:rPr>
          <w:rFonts w:eastAsia="MS Mincho"/>
          <w:lang w:val="en-US"/>
        </w:rPr>
        <w:t>=4.</w:t>
      </w:r>
    </w:p>
    <w:p w14:paraId="1BCE19B4" w14:textId="4C50C395" w:rsidR="006D73CE" w:rsidRDefault="006D73CE" w:rsidP="006D73CE">
      <w:pPr>
        <w:jc w:val="center"/>
        <w:rPr>
          <w:rFonts w:eastAsia="MS Mincho"/>
          <w:lang w:val="en-US"/>
        </w:rPr>
      </w:pPr>
      <w:r>
        <w:rPr>
          <w:rFonts w:eastAsia="MS Mincho"/>
          <w:noProof/>
          <w:lang w:eastAsia="en-GB"/>
        </w:rPr>
        <w:lastRenderedPageBreak/>
        <w:drawing>
          <wp:inline distT="0" distB="0" distL="0" distR="0" wp14:anchorId="36A9B9A2" wp14:editId="0632220B">
            <wp:extent cx="4224655" cy="2103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4655" cy="2103120"/>
                    </a:xfrm>
                    <a:prstGeom prst="rect">
                      <a:avLst/>
                    </a:prstGeom>
                    <a:noFill/>
                  </pic:spPr>
                </pic:pic>
              </a:graphicData>
            </a:graphic>
          </wp:inline>
        </w:drawing>
      </w:r>
    </w:p>
    <w:p w14:paraId="602DCF63" w14:textId="3251918C" w:rsidR="006D73CE" w:rsidRDefault="006D73CE" w:rsidP="006D73CE">
      <w:pPr>
        <w:pStyle w:val="Caption"/>
        <w:jc w:val="center"/>
        <w:rPr>
          <w:rFonts w:eastAsia="MS Mincho"/>
          <w:lang w:val="en-US"/>
        </w:rPr>
      </w:pPr>
      <w:bookmarkStart w:id="4" w:name="_Ref15560594"/>
      <w:r>
        <w:t xml:space="preserve">Figure </w:t>
      </w:r>
      <w:r w:rsidR="00EE1E25">
        <w:rPr>
          <w:noProof/>
        </w:rPr>
        <w:fldChar w:fldCharType="begin"/>
      </w:r>
      <w:r w:rsidR="00EE1E25">
        <w:rPr>
          <w:noProof/>
        </w:rPr>
        <w:instrText xml:space="preserve"> SEQ Figure \* ARABIC </w:instrText>
      </w:r>
      <w:r w:rsidR="00EE1E25">
        <w:rPr>
          <w:noProof/>
        </w:rPr>
        <w:fldChar w:fldCharType="separate"/>
      </w:r>
      <w:r>
        <w:rPr>
          <w:noProof/>
        </w:rPr>
        <w:t>3</w:t>
      </w:r>
      <w:r w:rsidR="00EE1E25">
        <w:rPr>
          <w:noProof/>
        </w:rPr>
        <w:fldChar w:fldCharType="end"/>
      </w:r>
      <w:bookmarkEnd w:id="4"/>
      <w:r>
        <w:t>: Cross slot scheduling</w:t>
      </w:r>
    </w:p>
    <w:p w14:paraId="33CFA188" w14:textId="5C3744B1" w:rsidR="006036D1" w:rsidRPr="004768FB" w:rsidRDefault="00C2745F" w:rsidP="000C2901">
      <w:pPr>
        <w:rPr>
          <w:rFonts w:eastAsia="MS Mincho"/>
          <w:b/>
          <w:lang w:val="en-US"/>
        </w:rPr>
      </w:pPr>
      <w:r w:rsidRPr="004768FB">
        <w:rPr>
          <w:rFonts w:eastAsia="MS Mincho"/>
          <w:b/>
          <w:lang w:val="en-US"/>
        </w:rPr>
        <w:t xml:space="preserve">Observation 3: </w:t>
      </w:r>
      <w:r w:rsidR="004768FB" w:rsidRPr="004768FB">
        <w:rPr>
          <w:rFonts w:eastAsia="MS Mincho"/>
          <w:b/>
          <w:lang w:val="en-US"/>
        </w:rPr>
        <w:t xml:space="preserve">Defining the parameter </w:t>
      </w:r>
      <w:r w:rsidR="004768FB" w:rsidRPr="004768FB">
        <w:rPr>
          <w:rFonts w:eastAsia="MS Mincho"/>
          <w:b/>
          <w:i/>
          <w:lang w:val="en-US"/>
        </w:rPr>
        <w:t>S</w:t>
      </w:r>
      <w:r w:rsidR="004768FB" w:rsidRPr="004768FB">
        <w:rPr>
          <w:rFonts w:eastAsia="MS Mincho"/>
          <w:b/>
          <w:lang w:val="en-US"/>
        </w:rPr>
        <w:t xml:space="preserve"> to be relative to the end of DL Grant is inefficient for cross slot scheduling.</w:t>
      </w:r>
      <w:r w:rsidR="006D73CE" w:rsidRPr="004768FB">
        <w:rPr>
          <w:rFonts w:eastAsia="MS Mincho"/>
          <w:b/>
          <w:lang w:val="en-US"/>
        </w:rPr>
        <w:t xml:space="preserve"> </w:t>
      </w:r>
    </w:p>
    <w:p w14:paraId="085BB7F0" w14:textId="77777777" w:rsidR="00C2745F" w:rsidRDefault="00C2745F" w:rsidP="000C2901">
      <w:pPr>
        <w:rPr>
          <w:rFonts w:eastAsia="MS Mincho"/>
          <w:lang w:val="en-US"/>
        </w:rPr>
      </w:pPr>
    </w:p>
    <w:p w14:paraId="0060088B" w14:textId="0008D885" w:rsidR="004768FB" w:rsidRDefault="004768FB" w:rsidP="000C2901">
      <w:pPr>
        <w:rPr>
          <w:rFonts w:eastAsia="MS Mincho"/>
          <w:lang w:val="en-US"/>
        </w:rPr>
      </w:pPr>
      <w:r>
        <w:rPr>
          <w:rFonts w:eastAsia="MS Mincho"/>
          <w:lang w:val="en-US"/>
        </w:rPr>
        <w:t xml:space="preserve">One way to implement the parameter </w:t>
      </w:r>
      <w:r w:rsidRPr="004768FB">
        <w:rPr>
          <w:rFonts w:eastAsia="MS Mincho"/>
          <w:i/>
          <w:lang w:val="en-US"/>
        </w:rPr>
        <w:t>S</w:t>
      </w:r>
      <w:r>
        <w:rPr>
          <w:rFonts w:eastAsia="MS Mincho"/>
          <w:lang w:val="en-US"/>
        </w:rPr>
        <w:t xml:space="preserve"> to address the above observations is to interpret parameter </w:t>
      </w:r>
      <w:r w:rsidRPr="004768FB">
        <w:rPr>
          <w:rFonts w:eastAsia="MS Mincho"/>
          <w:i/>
          <w:lang w:val="en-US"/>
        </w:rPr>
        <w:t>S</w:t>
      </w:r>
      <w:r>
        <w:rPr>
          <w:rFonts w:eastAsia="MS Mincho"/>
          <w:lang w:val="en-US"/>
        </w:rPr>
        <w:t xml:space="preserve"> </w:t>
      </w:r>
      <w:r w:rsidR="00DB7605">
        <w:rPr>
          <w:rFonts w:eastAsia="MS Mincho"/>
          <w:lang w:val="en-US"/>
        </w:rPr>
        <w:t xml:space="preserve">as being </w:t>
      </w:r>
      <w:r>
        <w:rPr>
          <w:rFonts w:eastAsia="MS Mincho"/>
          <w:lang w:val="en-US"/>
        </w:rPr>
        <w:t xml:space="preserve">relative to the end of DL Grant if </w:t>
      </w:r>
      <w:r w:rsidRPr="004768FB">
        <w:rPr>
          <w:rFonts w:eastAsia="MS Mincho"/>
          <w:i/>
          <w:lang w:val="en-US"/>
        </w:rPr>
        <w:t>K</w:t>
      </w:r>
      <w:r w:rsidRPr="004768FB">
        <w:rPr>
          <w:rFonts w:eastAsia="MS Mincho"/>
          <w:vertAlign w:val="subscript"/>
          <w:lang w:val="en-US"/>
        </w:rPr>
        <w:t>0</w:t>
      </w:r>
      <w:r>
        <w:rPr>
          <w:rFonts w:eastAsia="MS Mincho"/>
          <w:lang w:val="en-US"/>
        </w:rPr>
        <w:t xml:space="preserve">=0 otherwise </w:t>
      </w:r>
      <w:r w:rsidRPr="004768FB">
        <w:rPr>
          <w:rFonts w:eastAsia="MS Mincho"/>
          <w:i/>
          <w:lang w:val="en-US"/>
        </w:rPr>
        <w:t>S</w:t>
      </w:r>
      <w:r>
        <w:rPr>
          <w:rFonts w:eastAsia="MS Mincho"/>
          <w:lang w:val="en-US"/>
        </w:rPr>
        <w:t xml:space="preserve"> is relative to the slot boundary.  The benefit of defining </w:t>
      </w:r>
      <w:r w:rsidRPr="00353CAF">
        <w:rPr>
          <w:rFonts w:eastAsia="MS Mincho"/>
          <w:i/>
          <w:lang w:val="en-US"/>
        </w:rPr>
        <w:t>S</w:t>
      </w:r>
      <w:r>
        <w:rPr>
          <w:rFonts w:eastAsia="MS Mincho"/>
          <w:lang w:val="en-US"/>
        </w:rPr>
        <w:t xml:space="preserve"> to be relative to the DL Grant is for low latency scheduling, which reduces number of entries in the TDRA table</w:t>
      </w:r>
      <w:r w:rsidR="00B3776D">
        <w:rPr>
          <w:rFonts w:eastAsia="MS Mincho"/>
          <w:lang w:val="en-US"/>
        </w:rPr>
        <w:t xml:space="preserve"> especially for same slot scheduling</w:t>
      </w:r>
      <w:r>
        <w:rPr>
          <w:rFonts w:eastAsia="MS Mincho"/>
          <w:lang w:val="en-US"/>
        </w:rPr>
        <w:t xml:space="preserve">.  And if cross slot scheduling is used, then it is more efficient to have </w:t>
      </w:r>
      <w:r w:rsidRPr="004768FB">
        <w:rPr>
          <w:rFonts w:eastAsia="MS Mincho"/>
          <w:i/>
          <w:lang w:val="en-US"/>
        </w:rPr>
        <w:t>S</w:t>
      </w:r>
      <w:r>
        <w:rPr>
          <w:rFonts w:eastAsia="MS Mincho"/>
          <w:lang w:val="en-US"/>
        </w:rPr>
        <w:t xml:space="preserve"> relative to the slot boundary as shown in the above observation.  </w:t>
      </w:r>
    </w:p>
    <w:p w14:paraId="15026706" w14:textId="28C12E74" w:rsidR="004768FB" w:rsidRPr="00C757A9" w:rsidRDefault="004768FB" w:rsidP="000C2901">
      <w:pPr>
        <w:rPr>
          <w:rFonts w:eastAsia="MS Mincho"/>
          <w:b/>
          <w:lang w:val="en-US"/>
        </w:rPr>
      </w:pPr>
      <w:r w:rsidRPr="00C757A9">
        <w:rPr>
          <w:rFonts w:eastAsia="MS Mincho"/>
          <w:b/>
          <w:lang w:val="en-US"/>
        </w:rPr>
        <w:t xml:space="preserve">Proposal 3: For URLLC operation, the TDRA parameter </w:t>
      </w:r>
      <w:r w:rsidRPr="00C757A9">
        <w:rPr>
          <w:rFonts w:eastAsia="MS Mincho"/>
          <w:b/>
          <w:i/>
          <w:lang w:val="en-US"/>
        </w:rPr>
        <w:t>S</w:t>
      </w:r>
      <w:r w:rsidRPr="00C757A9">
        <w:rPr>
          <w:rFonts w:eastAsia="MS Mincho"/>
          <w:b/>
          <w:lang w:val="en-US"/>
        </w:rPr>
        <w:t xml:space="preserve"> is:</w:t>
      </w:r>
    </w:p>
    <w:p w14:paraId="161FD283" w14:textId="09BEDA31" w:rsidR="00C757A9" w:rsidRPr="00C757A9" w:rsidRDefault="00C757A9" w:rsidP="00C757A9">
      <w:pPr>
        <w:pStyle w:val="ListParagraph"/>
        <w:numPr>
          <w:ilvl w:val="0"/>
          <w:numId w:val="40"/>
        </w:numPr>
        <w:rPr>
          <w:rFonts w:eastAsia="MS Mincho"/>
          <w:b/>
          <w:lang w:val="en-US"/>
        </w:rPr>
      </w:pPr>
      <w:r w:rsidRPr="00C757A9">
        <w:rPr>
          <w:rFonts w:eastAsia="MS Mincho"/>
          <w:b/>
          <w:lang w:val="en-US"/>
        </w:rPr>
        <w:t xml:space="preserve">Relative to the end of the PDCCH carrying the DL Grant if </w:t>
      </w:r>
      <w:r w:rsidRPr="00C757A9">
        <w:rPr>
          <w:rFonts w:eastAsia="MS Mincho"/>
          <w:b/>
          <w:i/>
          <w:lang w:val="en-US"/>
        </w:rPr>
        <w:t>K</w:t>
      </w:r>
      <w:r w:rsidRPr="00C757A9">
        <w:rPr>
          <w:rFonts w:eastAsia="MS Mincho"/>
          <w:b/>
          <w:vertAlign w:val="subscript"/>
          <w:lang w:val="en-US"/>
        </w:rPr>
        <w:t>0</w:t>
      </w:r>
      <w:r w:rsidRPr="00C757A9">
        <w:rPr>
          <w:rFonts w:eastAsia="MS Mincho"/>
          <w:b/>
          <w:lang w:val="en-US"/>
        </w:rPr>
        <w:t>=0</w:t>
      </w:r>
    </w:p>
    <w:p w14:paraId="197A73F2" w14:textId="6FA94EC7" w:rsidR="00C757A9" w:rsidRPr="00C757A9" w:rsidRDefault="00C757A9" w:rsidP="00C757A9">
      <w:pPr>
        <w:pStyle w:val="ListParagraph"/>
        <w:numPr>
          <w:ilvl w:val="0"/>
          <w:numId w:val="40"/>
        </w:numPr>
        <w:rPr>
          <w:rFonts w:eastAsia="MS Mincho"/>
          <w:b/>
          <w:lang w:val="en-US"/>
        </w:rPr>
      </w:pPr>
      <w:r w:rsidRPr="00C757A9">
        <w:rPr>
          <w:rFonts w:eastAsia="MS Mincho"/>
          <w:b/>
          <w:lang w:val="en-US"/>
        </w:rPr>
        <w:t xml:space="preserve">Relative to the start of the slot boundary if </w:t>
      </w:r>
      <w:r w:rsidRPr="00C757A9">
        <w:rPr>
          <w:rFonts w:eastAsia="MS Mincho"/>
          <w:b/>
          <w:i/>
          <w:lang w:val="en-US"/>
        </w:rPr>
        <w:t>K</w:t>
      </w:r>
      <w:r w:rsidRPr="00C757A9">
        <w:rPr>
          <w:rFonts w:eastAsia="MS Mincho"/>
          <w:b/>
          <w:vertAlign w:val="subscript"/>
          <w:lang w:val="en-US"/>
        </w:rPr>
        <w:t>0</w:t>
      </w:r>
      <w:r w:rsidRPr="00C757A9">
        <w:rPr>
          <w:rFonts w:eastAsia="MS Mincho"/>
          <w:b/>
          <w:lang w:val="en-US"/>
        </w:rPr>
        <w:t>≥1</w:t>
      </w:r>
    </w:p>
    <w:p w14:paraId="7F346255" w14:textId="77777777" w:rsidR="004768FB" w:rsidRDefault="004768FB" w:rsidP="000C2901">
      <w:pPr>
        <w:rPr>
          <w:rFonts w:eastAsia="MS Mincho"/>
          <w:lang w:val="en-US"/>
        </w:rPr>
      </w:pPr>
    </w:p>
    <w:p w14:paraId="4D40183C" w14:textId="72A9F58D" w:rsidR="00C757A9" w:rsidRDefault="005141B3" w:rsidP="00040836">
      <w:pPr>
        <w:pStyle w:val="Heading2"/>
        <w:numPr>
          <w:ilvl w:val="1"/>
          <w:numId w:val="8"/>
        </w:numPr>
        <w:rPr>
          <w:lang w:val="en-US"/>
        </w:rPr>
      </w:pPr>
      <w:r>
        <w:rPr>
          <w:color w:val="000000"/>
          <w:kern w:val="2"/>
          <w:lang w:eastAsia="zh-CN"/>
        </w:rPr>
        <w:t>Modulation and Coding Scheme (</w:t>
      </w:r>
      <w:r w:rsidR="00040836">
        <w:rPr>
          <w:lang w:val="en-US"/>
        </w:rPr>
        <w:t>MCS</w:t>
      </w:r>
      <w:r>
        <w:rPr>
          <w:lang w:val="en-US"/>
        </w:rPr>
        <w:t>)</w:t>
      </w:r>
    </w:p>
    <w:p w14:paraId="3FA2F042" w14:textId="119F9BD4" w:rsidR="00040836" w:rsidRDefault="00527811" w:rsidP="00040836">
      <w:pPr>
        <w:rPr>
          <w:lang w:val="en-US"/>
        </w:rPr>
      </w:pPr>
      <w:r>
        <w:rPr>
          <w:lang w:val="en-US"/>
        </w:rPr>
        <w:t>The size of the MCS field in Rel-15 is 5 bits and it is suggested that a smaller MCS size can be used since high modulation &amp; high code rate schemes are not suitable for URLLC</w:t>
      </w:r>
      <w:r w:rsidR="00353CAF">
        <w:rPr>
          <w:lang w:val="en-US"/>
        </w:rPr>
        <w:t xml:space="preserve"> as</w:t>
      </w:r>
      <w:r w:rsidR="00DB7605">
        <w:rPr>
          <w:lang w:val="en-US"/>
        </w:rPr>
        <w:t xml:space="preserve"> URLLC</w:t>
      </w:r>
      <w:r w:rsidR="00F60872">
        <w:rPr>
          <w:lang w:val="en-US"/>
        </w:rPr>
        <w:t xml:space="preserve"> requires high reliability</w:t>
      </w:r>
      <w:r w:rsidR="00DB7605">
        <w:rPr>
          <w:lang w:val="en-US"/>
        </w:rPr>
        <w:t>: hence the high modulation and code rate schemes</w:t>
      </w:r>
      <w:r w:rsidR="00F60872">
        <w:rPr>
          <w:lang w:val="en-US"/>
        </w:rPr>
        <w:t xml:space="preserve"> can be removed</w:t>
      </w:r>
      <w:r>
        <w:rPr>
          <w:lang w:val="en-US"/>
        </w:rPr>
        <w:t xml:space="preserve">.  However, </w:t>
      </w:r>
      <w:r w:rsidR="00F60872">
        <w:rPr>
          <w:lang w:val="en-US"/>
        </w:rPr>
        <w:t xml:space="preserve">this reliability aspect has already been addressed with the introduction of a lower spectral efficiency </w:t>
      </w:r>
      <w:r>
        <w:rPr>
          <w:lang w:val="en-US"/>
        </w:rPr>
        <w:t xml:space="preserve">MCS table </w:t>
      </w:r>
      <w:r w:rsidR="00F60872">
        <w:rPr>
          <w:lang w:val="en-US"/>
        </w:rPr>
        <w:t>in Rel-15.</w:t>
      </w:r>
    </w:p>
    <w:p w14:paraId="0392CA3E" w14:textId="1CB11956" w:rsidR="003B5EBD" w:rsidRDefault="00F60872" w:rsidP="00040836">
      <w:pPr>
        <w:rPr>
          <w:lang w:val="en-US"/>
        </w:rPr>
      </w:pPr>
      <w:r>
        <w:rPr>
          <w:lang w:val="en-US"/>
        </w:rPr>
        <w:t xml:space="preserve">Reducing the size of the MCS would lead to coarser MCS granularity which lead to inefficient allocation of resources.  Alternatively, a </w:t>
      </w:r>
      <w:r w:rsidR="003B5EBD">
        <w:rPr>
          <w:lang w:val="en-US"/>
        </w:rPr>
        <w:t xml:space="preserve">localized subset </w:t>
      </w:r>
      <w:r>
        <w:rPr>
          <w:lang w:val="en-US"/>
        </w:rPr>
        <w:t xml:space="preserve">of the Rel-15 MCS table </w:t>
      </w:r>
      <w:r w:rsidR="00DB7605">
        <w:rPr>
          <w:lang w:val="en-US"/>
        </w:rPr>
        <w:t>could be</w:t>
      </w:r>
      <w:r>
        <w:rPr>
          <w:lang w:val="en-US"/>
        </w:rPr>
        <w:t xml:space="preserve"> used, e.g. a 3 bit MCS field </w:t>
      </w:r>
      <w:r w:rsidR="00DB7605">
        <w:rPr>
          <w:lang w:val="en-US"/>
        </w:rPr>
        <w:t xml:space="preserve">using </w:t>
      </w:r>
      <w:r>
        <w:rPr>
          <w:lang w:val="en-US"/>
        </w:rPr>
        <w:t>the lowe</w:t>
      </w:r>
      <w:r w:rsidR="003B5EBD">
        <w:rPr>
          <w:lang w:val="en-US"/>
        </w:rPr>
        <w:t xml:space="preserve">r 8 entries of </w:t>
      </w:r>
      <w:r w:rsidR="00DB7605">
        <w:rPr>
          <w:lang w:val="en-US"/>
        </w:rPr>
        <w:t xml:space="preserve">the </w:t>
      </w:r>
      <w:r w:rsidR="003B5EBD">
        <w:rPr>
          <w:lang w:val="en-US"/>
        </w:rPr>
        <w:t>Rel-15 MCS table, and the localized subset used is RRC configured, e.g. by configuring the starting MCS (i.e. an anchor MCS) of the localized subset [3]. However, localizing to a subset of the Rel-15 MCS table may not be suitable if the UE moves to a different radio condition and reconfiguring the UE to a different subset of the MCS table would introduce latency.  Hence, we have a preference not to change the size of the MCS field.</w:t>
      </w:r>
    </w:p>
    <w:p w14:paraId="393BA6BC" w14:textId="727C6955" w:rsidR="00F60872" w:rsidRPr="003B5EBD" w:rsidRDefault="003B5EBD" w:rsidP="00040836">
      <w:pPr>
        <w:rPr>
          <w:b/>
          <w:lang w:val="en-US"/>
        </w:rPr>
      </w:pPr>
      <w:r w:rsidRPr="003B5EBD">
        <w:rPr>
          <w:b/>
          <w:lang w:val="en-US"/>
        </w:rPr>
        <w:t xml:space="preserve">Proposal 4: The size of the MCS field is maintained at 5 bits.  </w:t>
      </w:r>
    </w:p>
    <w:p w14:paraId="6501254B" w14:textId="77777777" w:rsidR="005141B3" w:rsidRDefault="005141B3" w:rsidP="005141B3">
      <w:pPr>
        <w:rPr>
          <w:rFonts w:eastAsia="MS Mincho"/>
          <w:lang w:val="en-US"/>
        </w:rPr>
      </w:pPr>
    </w:p>
    <w:p w14:paraId="78009DA9" w14:textId="3EC360DC" w:rsidR="005141B3" w:rsidRDefault="005141B3" w:rsidP="005141B3">
      <w:pPr>
        <w:pStyle w:val="Heading2"/>
        <w:numPr>
          <w:ilvl w:val="1"/>
          <w:numId w:val="8"/>
        </w:numPr>
        <w:rPr>
          <w:lang w:val="en-US"/>
        </w:rPr>
      </w:pPr>
      <w:r>
        <w:rPr>
          <w:lang w:val="en-US"/>
        </w:rPr>
        <w:t>HARQ Process Number</w:t>
      </w:r>
    </w:p>
    <w:p w14:paraId="29E1D38C" w14:textId="5125B1F0" w:rsidR="003B5EBD" w:rsidRDefault="005141B3" w:rsidP="005141B3">
      <w:pPr>
        <w:rPr>
          <w:lang w:val="en-US"/>
        </w:rPr>
      </w:pPr>
      <w:r>
        <w:rPr>
          <w:lang w:val="en-US"/>
        </w:rPr>
        <w:t>The size of the HARQ Process Number field in Rel-15 is 4 bits and it is suggested that a smaller number of HARQ process</w:t>
      </w:r>
      <w:r w:rsidR="00DB7605">
        <w:rPr>
          <w:lang w:val="en-US"/>
        </w:rPr>
        <w:t>es</w:t>
      </w:r>
      <w:r>
        <w:rPr>
          <w:lang w:val="en-US"/>
        </w:rPr>
        <w:t xml:space="preserve"> can be supported since we do not expect each </w:t>
      </w:r>
      <w:r w:rsidRPr="00DD1C76">
        <w:rPr>
          <w:lang w:val="en-US"/>
        </w:rPr>
        <w:t>HARQ</w:t>
      </w:r>
      <w:r>
        <w:rPr>
          <w:lang w:val="en-US"/>
        </w:rPr>
        <w:t xml:space="preserve"> round trip time to </w:t>
      </w:r>
      <w:r w:rsidR="00CF3C03">
        <w:rPr>
          <w:lang w:val="en-US"/>
        </w:rPr>
        <w:t>span a long time</w:t>
      </w:r>
      <w:r>
        <w:rPr>
          <w:lang w:val="en-US"/>
        </w:rPr>
        <w:t xml:space="preserve"> for URLLC traffic.  However, the UE may also support both eMBB and URLLC and hence may require </w:t>
      </w:r>
      <w:r w:rsidR="00CF3C03">
        <w:rPr>
          <w:lang w:val="en-US"/>
        </w:rPr>
        <w:t xml:space="preserve">a </w:t>
      </w:r>
      <w:r>
        <w:rPr>
          <w:lang w:val="en-US"/>
        </w:rPr>
        <w:t>larger number of HARQ processes.  Hence it is proposed that this field is configurable.</w:t>
      </w:r>
    </w:p>
    <w:p w14:paraId="723FA372" w14:textId="5AA5AE75" w:rsidR="005141B3" w:rsidRPr="005141B3" w:rsidRDefault="005141B3" w:rsidP="005141B3">
      <w:pPr>
        <w:rPr>
          <w:rFonts w:eastAsia="MS Mincho"/>
          <w:b/>
          <w:lang w:val="en-US"/>
        </w:rPr>
      </w:pPr>
      <w:r w:rsidRPr="005141B3">
        <w:rPr>
          <w:b/>
          <w:lang w:val="en-US"/>
        </w:rPr>
        <w:t>Proposal 5: The HARQ Process Number field is configurable from 1 to 4 bits.</w:t>
      </w:r>
    </w:p>
    <w:p w14:paraId="69B44A3E" w14:textId="77777777" w:rsidR="005141B3" w:rsidRDefault="005141B3" w:rsidP="005141B3">
      <w:pPr>
        <w:rPr>
          <w:rFonts w:eastAsia="MS Mincho"/>
          <w:lang w:val="en-US"/>
        </w:rPr>
      </w:pPr>
    </w:p>
    <w:p w14:paraId="449120F6" w14:textId="5774939E" w:rsidR="005141B3" w:rsidRDefault="005141B3" w:rsidP="005141B3">
      <w:pPr>
        <w:pStyle w:val="Heading2"/>
        <w:numPr>
          <w:ilvl w:val="1"/>
          <w:numId w:val="8"/>
        </w:numPr>
        <w:rPr>
          <w:lang w:val="en-US"/>
        </w:rPr>
      </w:pPr>
      <w:r>
        <w:rPr>
          <w:lang w:val="en-US"/>
        </w:rPr>
        <w:lastRenderedPageBreak/>
        <w:t>Redundancy Version (RV)</w:t>
      </w:r>
    </w:p>
    <w:p w14:paraId="21229486" w14:textId="0EE99D53" w:rsidR="005141B3" w:rsidRDefault="005141B3" w:rsidP="005141B3">
      <w:pPr>
        <w:rPr>
          <w:lang w:val="en-US"/>
        </w:rPr>
      </w:pPr>
      <w:r>
        <w:rPr>
          <w:lang w:val="en-US"/>
        </w:rPr>
        <w:t>The size of the RV field in Rel-15</w:t>
      </w:r>
      <w:r w:rsidR="008C4D81">
        <w:rPr>
          <w:lang w:val="en-US"/>
        </w:rPr>
        <w:t xml:space="preserve"> is 2 bits</w:t>
      </w:r>
      <w:r w:rsidR="00CF3C03">
        <w:rPr>
          <w:lang w:val="en-US"/>
        </w:rPr>
        <w:t>,</w:t>
      </w:r>
      <w:r w:rsidR="008C4D81">
        <w:rPr>
          <w:lang w:val="en-US"/>
        </w:rPr>
        <w:t xml:space="preserve"> supporting four RV.  It is noted that the number of HARQ retransmissions that can be supported within the URLLC low latency budget is limited especially for PUSCH.  Hence, the number of RV can be reduced</w:t>
      </w:r>
      <w:r>
        <w:rPr>
          <w:lang w:val="en-US"/>
        </w:rPr>
        <w:t>.  However, the number of HARQ retransmission</w:t>
      </w:r>
      <w:r w:rsidR="00CF3C03">
        <w:rPr>
          <w:lang w:val="en-US"/>
        </w:rPr>
        <w:t>s</w:t>
      </w:r>
      <w:r>
        <w:rPr>
          <w:lang w:val="en-US"/>
        </w:rPr>
        <w:t xml:space="preserve"> that can fit into the URLLC latency budget (0.5 ms or 1 ms) depe</w:t>
      </w:r>
      <w:r w:rsidR="008C4D81">
        <w:rPr>
          <w:lang w:val="en-US"/>
        </w:rPr>
        <w:t>nds on the Subcarrier Spacing.  Therefore, we prefer that the RV size is configurable between 1 or 2 bits.</w:t>
      </w:r>
    </w:p>
    <w:p w14:paraId="5DF6555E" w14:textId="3966291D" w:rsidR="008C4D81" w:rsidRPr="008C4D81" w:rsidRDefault="008C4D81" w:rsidP="005141B3">
      <w:pPr>
        <w:rPr>
          <w:b/>
          <w:lang w:val="en-US"/>
        </w:rPr>
      </w:pPr>
      <w:bookmarkStart w:id="5" w:name="_GoBack"/>
      <w:r w:rsidRPr="008C4D81">
        <w:rPr>
          <w:b/>
          <w:lang w:val="en-US"/>
        </w:rPr>
        <w:t>Proposal 6: The Redundancy Version (RV) field is configurable between 1 or 2 bits.</w:t>
      </w:r>
    </w:p>
    <w:bookmarkEnd w:id="5"/>
    <w:p w14:paraId="1F44052B" w14:textId="77777777" w:rsidR="008C4D81" w:rsidRDefault="008C4D81" w:rsidP="005141B3">
      <w:pPr>
        <w:rPr>
          <w:rFonts w:eastAsia="MS Mincho"/>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10250698" w14:textId="47748F34" w:rsidR="0088003C" w:rsidRDefault="00855F39" w:rsidP="0088003C">
      <w:r>
        <w:t xml:space="preserve">In this contribution we discuss </w:t>
      </w:r>
      <w:r w:rsidR="008C4D81">
        <w:t>reduction of DCI size for URLLC</w:t>
      </w:r>
      <w:r w:rsidR="00116008">
        <w:t>.  We observe the following</w:t>
      </w:r>
      <w:r>
        <w:t>:</w:t>
      </w:r>
    </w:p>
    <w:p w14:paraId="0842A6B6" w14:textId="77777777" w:rsidR="00353CAF" w:rsidRPr="00155458" w:rsidRDefault="00353CAF" w:rsidP="00353CAF">
      <w:pPr>
        <w:rPr>
          <w:rFonts w:eastAsia="MS Mincho"/>
          <w:b/>
          <w:lang w:val="en-US"/>
        </w:rPr>
      </w:pPr>
      <w:r w:rsidRPr="00155458">
        <w:rPr>
          <w:rFonts w:eastAsia="MS Mincho"/>
          <w:b/>
          <w:lang w:val="en-US"/>
        </w:rPr>
        <w:t>Observation 1: Rel-15 TDRA parameters are not efficient in allocating PDSCH that require low latency for multiple PDCCH monitoring occasions per slot.</w:t>
      </w:r>
    </w:p>
    <w:p w14:paraId="1D0384B9" w14:textId="708D3A64" w:rsidR="008C4D81" w:rsidRPr="004768FB" w:rsidRDefault="00353CAF" w:rsidP="008C4D81">
      <w:pPr>
        <w:rPr>
          <w:rFonts w:eastAsia="MS Mincho"/>
          <w:b/>
          <w:lang w:val="en-US"/>
        </w:rPr>
      </w:pPr>
      <w:r w:rsidRPr="006036D1">
        <w:rPr>
          <w:rFonts w:eastAsia="MS Mincho"/>
          <w:b/>
          <w:lang w:val="en-US"/>
        </w:rPr>
        <w:t xml:space="preserve">Observation 2: Defining the parameter </w:t>
      </w:r>
      <w:r w:rsidRPr="00350811">
        <w:rPr>
          <w:rFonts w:eastAsia="MS Mincho"/>
          <w:b/>
          <w:i/>
          <w:lang w:val="en-US"/>
        </w:rPr>
        <w:t>S</w:t>
      </w:r>
      <w:r w:rsidRPr="006036D1">
        <w:rPr>
          <w:rFonts w:eastAsia="MS Mincho"/>
          <w:b/>
          <w:lang w:val="en-US"/>
        </w:rPr>
        <w:t xml:space="preserve"> to be relative to the end of DL Grant may lead to PDSCH allocation crossing slot boundary</w:t>
      </w:r>
      <w:r w:rsidR="008C4D81" w:rsidRPr="004768FB">
        <w:rPr>
          <w:rFonts w:eastAsia="MS Mincho"/>
          <w:b/>
          <w:lang w:val="en-US"/>
        </w:rPr>
        <w:t xml:space="preserve">. </w:t>
      </w:r>
    </w:p>
    <w:p w14:paraId="0654A187" w14:textId="7A84C7C4" w:rsidR="009D7CB0" w:rsidRDefault="00043E4F" w:rsidP="00855F39">
      <w:pPr>
        <w:rPr>
          <w:rFonts w:eastAsia="MS Mincho"/>
          <w:b/>
          <w:lang w:val="en-US"/>
        </w:rPr>
      </w:pPr>
      <w:r w:rsidRPr="004768FB">
        <w:rPr>
          <w:rFonts w:eastAsia="MS Mincho"/>
          <w:b/>
          <w:lang w:val="en-US"/>
        </w:rPr>
        <w:t xml:space="preserve">Observation 3: Defining the parameter </w:t>
      </w:r>
      <w:r w:rsidRPr="004768FB">
        <w:rPr>
          <w:rFonts w:eastAsia="MS Mincho"/>
          <w:b/>
          <w:i/>
          <w:lang w:val="en-US"/>
        </w:rPr>
        <w:t>S</w:t>
      </w:r>
      <w:r w:rsidRPr="004768FB">
        <w:rPr>
          <w:rFonts w:eastAsia="MS Mincho"/>
          <w:b/>
          <w:lang w:val="en-US"/>
        </w:rPr>
        <w:t xml:space="preserve"> to be relative to the end of DL Grant is inefficient for cross slot scheduling.</w:t>
      </w:r>
    </w:p>
    <w:p w14:paraId="52F0A4EF" w14:textId="77777777" w:rsidR="00043E4F" w:rsidRDefault="00043E4F" w:rsidP="00855F39"/>
    <w:p w14:paraId="2187BC09" w14:textId="77777777" w:rsidR="00160371" w:rsidRDefault="00160371" w:rsidP="00855F39">
      <w:r>
        <w:t>We therefore propose the following:</w:t>
      </w:r>
    </w:p>
    <w:p w14:paraId="0F8EBF96" w14:textId="77777777" w:rsidR="00353CAF" w:rsidRPr="0024533F" w:rsidRDefault="00353CAF" w:rsidP="00353CAF">
      <w:pPr>
        <w:rPr>
          <w:b/>
        </w:rPr>
      </w:pPr>
      <w:r w:rsidRPr="0024533F">
        <w:rPr>
          <w:b/>
        </w:rPr>
        <w:t xml:space="preserve">Proposal 1: For the configuration of the FDRA granularity, the starting point granularity and the length indication granularity are separately configured. </w:t>
      </w:r>
    </w:p>
    <w:p w14:paraId="4C1A1C1E" w14:textId="77777777" w:rsidR="00353CAF" w:rsidRPr="0024533F" w:rsidRDefault="00353CAF" w:rsidP="00353CAF">
      <w:pPr>
        <w:rPr>
          <w:rFonts w:eastAsia="MS Mincho"/>
          <w:b/>
          <w:lang w:val="en-US"/>
        </w:rPr>
      </w:pPr>
      <w:r w:rsidRPr="0024533F">
        <w:rPr>
          <w:rFonts w:eastAsia="MS Mincho"/>
          <w:b/>
          <w:lang w:val="en-US"/>
        </w:rPr>
        <w:t>Proposal 2: Support Resource Allocation Type 0 for frequency domain resource assignment for the DCI format scheduling Rel-16 DL URLLC.</w:t>
      </w:r>
    </w:p>
    <w:p w14:paraId="364A8759" w14:textId="77777777" w:rsidR="00043E4F" w:rsidRPr="00C757A9" w:rsidRDefault="00043E4F" w:rsidP="00043E4F">
      <w:pPr>
        <w:rPr>
          <w:rFonts w:eastAsia="MS Mincho"/>
          <w:b/>
          <w:lang w:val="en-US"/>
        </w:rPr>
      </w:pPr>
      <w:r w:rsidRPr="00C757A9">
        <w:rPr>
          <w:rFonts w:eastAsia="MS Mincho"/>
          <w:b/>
          <w:lang w:val="en-US"/>
        </w:rPr>
        <w:t xml:space="preserve">Proposal 3: For URLLC operation, the TDRA parameter </w:t>
      </w:r>
      <w:r w:rsidRPr="00C757A9">
        <w:rPr>
          <w:rFonts w:eastAsia="MS Mincho"/>
          <w:b/>
          <w:i/>
          <w:lang w:val="en-US"/>
        </w:rPr>
        <w:t>S</w:t>
      </w:r>
      <w:r w:rsidRPr="00C757A9">
        <w:rPr>
          <w:rFonts w:eastAsia="MS Mincho"/>
          <w:b/>
          <w:lang w:val="en-US"/>
        </w:rPr>
        <w:t xml:space="preserve"> is:</w:t>
      </w:r>
    </w:p>
    <w:p w14:paraId="64371F98" w14:textId="77777777" w:rsidR="00043E4F" w:rsidRPr="00C757A9" w:rsidRDefault="00043E4F" w:rsidP="00043E4F">
      <w:pPr>
        <w:pStyle w:val="ListParagraph"/>
        <w:numPr>
          <w:ilvl w:val="0"/>
          <w:numId w:val="40"/>
        </w:numPr>
        <w:rPr>
          <w:rFonts w:eastAsia="MS Mincho"/>
          <w:b/>
          <w:lang w:val="en-US"/>
        </w:rPr>
      </w:pPr>
      <w:r w:rsidRPr="00C757A9">
        <w:rPr>
          <w:rFonts w:eastAsia="MS Mincho"/>
          <w:b/>
          <w:lang w:val="en-US"/>
        </w:rPr>
        <w:t xml:space="preserve">Relative to the end of the PDCCH carrying the DL Grant if </w:t>
      </w:r>
      <w:r w:rsidRPr="00C757A9">
        <w:rPr>
          <w:rFonts w:eastAsia="MS Mincho"/>
          <w:b/>
          <w:i/>
          <w:lang w:val="en-US"/>
        </w:rPr>
        <w:t>K</w:t>
      </w:r>
      <w:r w:rsidRPr="00C757A9">
        <w:rPr>
          <w:rFonts w:eastAsia="MS Mincho"/>
          <w:b/>
          <w:vertAlign w:val="subscript"/>
          <w:lang w:val="en-US"/>
        </w:rPr>
        <w:t>0</w:t>
      </w:r>
      <w:r w:rsidRPr="00C757A9">
        <w:rPr>
          <w:rFonts w:eastAsia="MS Mincho"/>
          <w:b/>
          <w:lang w:val="en-US"/>
        </w:rPr>
        <w:t>=0</w:t>
      </w:r>
    </w:p>
    <w:p w14:paraId="31C40840" w14:textId="77777777" w:rsidR="00043E4F" w:rsidRPr="00C757A9" w:rsidRDefault="00043E4F" w:rsidP="00043E4F">
      <w:pPr>
        <w:pStyle w:val="ListParagraph"/>
        <w:numPr>
          <w:ilvl w:val="0"/>
          <w:numId w:val="40"/>
        </w:numPr>
        <w:rPr>
          <w:rFonts w:eastAsia="MS Mincho"/>
          <w:b/>
          <w:lang w:val="en-US"/>
        </w:rPr>
      </w:pPr>
      <w:r w:rsidRPr="00C757A9">
        <w:rPr>
          <w:rFonts w:eastAsia="MS Mincho"/>
          <w:b/>
          <w:lang w:val="en-US"/>
        </w:rPr>
        <w:t xml:space="preserve">Relative to the start of the slot boundary if </w:t>
      </w:r>
      <w:r w:rsidRPr="00C757A9">
        <w:rPr>
          <w:rFonts w:eastAsia="MS Mincho"/>
          <w:b/>
          <w:i/>
          <w:lang w:val="en-US"/>
        </w:rPr>
        <w:t>K</w:t>
      </w:r>
      <w:r w:rsidRPr="00C757A9">
        <w:rPr>
          <w:rFonts w:eastAsia="MS Mincho"/>
          <w:b/>
          <w:vertAlign w:val="subscript"/>
          <w:lang w:val="en-US"/>
        </w:rPr>
        <w:t>0</w:t>
      </w:r>
      <w:r w:rsidRPr="00C757A9">
        <w:rPr>
          <w:rFonts w:eastAsia="MS Mincho"/>
          <w:b/>
          <w:lang w:val="en-US"/>
        </w:rPr>
        <w:t>≥1</w:t>
      </w:r>
    </w:p>
    <w:p w14:paraId="487D46A8" w14:textId="77777777" w:rsidR="00043E4F" w:rsidRDefault="00043E4F" w:rsidP="00043E4F">
      <w:pPr>
        <w:rPr>
          <w:rFonts w:eastAsia="MS Mincho"/>
          <w:lang w:val="en-US"/>
        </w:rPr>
      </w:pPr>
    </w:p>
    <w:p w14:paraId="3E84B9D4" w14:textId="77777777" w:rsidR="00043E4F" w:rsidRPr="003B5EBD" w:rsidRDefault="00043E4F" w:rsidP="00043E4F">
      <w:pPr>
        <w:rPr>
          <w:b/>
          <w:lang w:val="en-US"/>
        </w:rPr>
      </w:pPr>
      <w:r w:rsidRPr="003B5EBD">
        <w:rPr>
          <w:b/>
          <w:lang w:val="en-US"/>
        </w:rPr>
        <w:t xml:space="preserve">Proposal 4: The size of the MCS field is maintained at 5 bits.  </w:t>
      </w:r>
    </w:p>
    <w:p w14:paraId="355356B4" w14:textId="77777777" w:rsidR="00043E4F" w:rsidRPr="005141B3" w:rsidRDefault="00043E4F" w:rsidP="00043E4F">
      <w:pPr>
        <w:rPr>
          <w:rFonts w:eastAsia="MS Mincho"/>
          <w:b/>
          <w:lang w:val="en-US"/>
        </w:rPr>
      </w:pPr>
      <w:r w:rsidRPr="005141B3">
        <w:rPr>
          <w:b/>
          <w:lang w:val="en-US"/>
        </w:rPr>
        <w:t>Proposal 5: The HARQ Process Number field is configurable from 1 to 4 bits.</w:t>
      </w:r>
    </w:p>
    <w:p w14:paraId="6F75C57E" w14:textId="77777777" w:rsidR="00043E4F" w:rsidRPr="008C4D81" w:rsidRDefault="00043E4F" w:rsidP="00043E4F">
      <w:pPr>
        <w:rPr>
          <w:b/>
          <w:lang w:val="en-US"/>
        </w:rPr>
      </w:pPr>
      <w:r w:rsidRPr="008C4D81">
        <w:rPr>
          <w:b/>
          <w:lang w:val="en-US"/>
        </w:rPr>
        <w:t>Proposal 6: The Redundancy Version (RV) field is configurable between 1 or 2 bits.</w:t>
      </w:r>
    </w:p>
    <w:p w14:paraId="2C2098D3" w14:textId="77777777" w:rsidR="00A91C99" w:rsidRPr="001D7294" w:rsidRDefault="00A91C99"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043AF30" w14:textId="64B377E1" w:rsidR="00AD17BB" w:rsidRDefault="00855F39" w:rsidP="00203776">
      <w:r>
        <w:t xml:space="preserve">[1] </w:t>
      </w:r>
      <w:r w:rsidR="00203776">
        <w:t>TR38.824, “Study on physical layer enhancements for NR ultra-reliable and low latency case (URLLC) (Rel-16)”</w:t>
      </w:r>
    </w:p>
    <w:p w14:paraId="6C9B185C" w14:textId="2A8C01CD" w:rsidR="002732F5" w:rsidRDefault="002732F5" w:rsidP="00203776">
      <w:r>
        <w:t xml:space="preserve">[2] </w:t>
      </w:r>
      <w:r w:rsidRPr="002732F5">
        <w:t>R1-1907835</w:t>
      </w:r>
      <w:r>
        <w:t>, “</w:t>
      </w:r>
      <w:r w:rsidRPr="002732F5">
        <w:t>Summary of Thursday offline discussion on PDCCH enhancements</w:t>
      </w:r>
      <w:r>
        <w:t>,” Huawei, RAN1#97</w:t>
      </w:r>
    </w:p>
    <w:p w14:paraId="14BC485B" w14:textId="31A6EB8D" w:rsidR="003B5EBD" w:rsidRDefault="003B5EBD" w:rsidP="00203776">
      <w:r>
        <w:t xml:space="preserve">[3] </w:t>
      </w:r>
      <w:r w:rsidRPr="003B5EBD">
        <w:t>R1-1906751</w:t>
      </w:r>
      <w:r>
        <w:t>, “</w:t>
      </w:r>
      <w:r w:rsidRPr="003B5EBD">
        <w:t>On PDCCH Enhancements for NR URLLC</w:t>
      </w:r>
      <w:r>
        <w:t xml:space="preserve">,” </w:t>
      </w:r>
      <w:r w:rsidRPr="003B5EBD">
        <w:t>Nokia, Nokia Shanghai Bell</w:t>
      </w:r>
      <w:r>
        <w:t>, RAN1#97</w:t>
      </w: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7F175A" w16cid:durableId="20FA9B40"/>
  <w16cid:commentId w16cid:paraId="3BC58B27" w16cid:durableId="20FBC68E"/>
  <w16cid:commentId w16cid:paraId="6D3D958E" w16cid:durableId="20FBC8EB"/>
  <w16cid:commentId w16cid:paraId="25A8DC14" w16cid:durableId="20FA9C3B"/>
  <w16cid:commentId w16cid:paraId="21879571" w16cid:durableId="20FBC690"/>
  <w16cid:commentId w16cid:paraId="1A328CE9" w16cid:durableId="20FA9CED"/>
  <w16cid:commentId w16cid:paraId="255454EC" w16cid:durableId="20FBC692"/>
  <w16cid:commentId w16cid:paraId="2C540FCE" w16cid:durableId="20FA9D40"/>
  <w16cid:commentId w16cid:paraId="2BA93150" w16cid:durableId="20FA9DC5"/>
  <w16cid:commentId w16cid:paraId="05F3A2F9" w16cid:durableId="20FA9F26"/>
  <w16cid:commentId w16cid:paraId="32E21439" w16cid:durableId="20FBBAF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9A786" w14:textId="77777777" w:rsidR="00D42531" w:rsidRDefault="00D42531">
      <w:r>
        <w:separator/>
      </w:r>
    </w:p>
  </w:endnote>
  <w:endnote w:type="continuationSeparator" w:id="0">
    <w:p w14:paraId="2AC0B678" w14:textId="77777777" w:rsidR="00D42531" w:rsidRDefault="00D4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23A39" w14:textId="77777777" w:rsidR="00D42531" w:rsidRDefault="00D42531">
      <w:r>
        <w:separator/>
      </w:r>
    </w:p>
  </w:footnote>
  <w:footnote w:type="continuationSeparator" w:id="0">
    <w:p w14:paraId="7CAC40B7" w14:textId="77777777" w:rsidR="00D42531" w:rsidRDefault="00D42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F821E5"/>
    <w:multiLevelType w:val="hybridMultilevel"/>
    <w:tmpl w:val="17489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DA504E"/>
    <w:multiLevelType w:val="hybridMultilevel"/>
    <w:tmpl w:val="0D0CD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20"/>
  </w:num>
  <w:num w:numId="4">
    <w:abstractNumId w:val="9"/>
  </w:num>
  <w:num w:numId="5">
    <w:abstractNumId w:val="25"/>
  </w:num>
  <w:num w:numId="6">
    <w:abstractNumId w:val="10"/>
  </w:num>
  <w:num w:numId="7">
    <w:abstractNumId w:val="2"/>
  </w:num>
  <w:num w:numId="8">
    <w:abstractNumId w:val="0"/>
  </w:num>
  <w:num w:numId="9">
    <w:abstractNumId w:val="18"/>
  </w:num>
  <w:num w:numId="10">
    <w:abstractNumId w:val="14"/>
  </w:num>
  <w:num w:numId="11">
    <w:abstractNumId w:val="6"/>
  </w:num>
  <w:num w:numId="12">
    <w:abstractNumId w:val="34"/>
  </w:num>
  <w:num w:numId="13">
    <w:abstractNumId w:val="23"/>
  </w:num>
  <w:num w:numId="14">
    <w:abstractNumId w:val="13"/>
  </w:num>
  <w:num w:numId="15">
    <w:abstractNumId w:val="33"/>
  </w:num>
  <w:num w:numId="16">
    <w:abstractNumId w:val="28"/>
  </w:num>
  <w:num w:numId="17">
    <w:abstractNumId w:val="35"/>
  </w:num>
  <w:num w:numId="18">
    <w:abstractNumId w:val="31"/>
  </w:num>
  <w:num w:numId="19">
    <w:abstractNumId w:val="19"/>
  </w:num>
  <w:num w:numId="20">
    <w:abstractNumId w:val="3"/>
  </w:num>
  <w:num w:numId="21">
    <w:abstractNumId w:val="16"/>
  </w:num>
  <w:num w:numId="22">
    <w:abstractNumId w:val="5"/>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26"/>
  </w:num>
  <w:num w:numId="26">
    <w:abstractNumId w:val="17"/>
  </w:num>
  <w:num w:numId="27">
    <w:abstractNumId w:val="24"/>
  </w:num>
  <w:num w:numId="28">
    <w:abstractNumId w:val="29"/>
  </w:num>
  <w:num w:numId="29">
    <w:abstractNumId w:val="11"/>
  </w:num>
  <w:num w:numId="30">
    <w:abstractNumId w:val="8"/>
  </w:num>
  <w:num w:numId="31">
    <w:abstractNumId w:val="7"/>
  </w:num>
  <w:num w:numId="32">
    <w:abstractNumId w:val="7"/>
  </w:num>
  <w:num w:numId="33">
    <w:abstractNumId w:val="21"/>
  </w:num>
  <w:num w:numId="34">
    <w:abstractNumId w:val="1"/>
  </w:num>
  <w:num w:numId="35">
    <w:abstractNumId w:val="7"/>
  </w:num>
  <w:num w:numId="36">
    <w:abstractNumId w:val="22"/>
  </w:num>
  <w:num w:numId="37">
    <w:abstractNumId w:val="4"/>
  </w:num>
  <w:num w:numId="38">
    <w:abstractNumId w:val="18"/>
  </w:num>
  <w:num w:numId="39">
    <w:abstractNumId w:val="15"/>
  </w:num>
  <w:num w:numId="4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3E23"/>
    <w:rsid w:val="000102FF"/>
    <w:rsid w:val="0001157C"/>
    <w:rsid w:val="00031AA4"/>
    <w:rsid w:val="00040836"/>
    <w:rsid w:val="0004157F"/>
    <w:rsid w:val="00043E4F"/>
    <w:rsid w:val="00046177"/>
    <w:rsid w:val="00062DA9"/>
    <w:rsid w:val="000C2901"/>
    <w:rsid w:val="000D639E"/>
    <w:rsid w:val="000D7B2E"/>
    <w:rsid w:val="000F183A"/>
    <w:rsid w:val="000F2691"/>
    <w:rsid w:val="00106793"/>
    <w:rsid w:val="00116008"/>
    <w:rsid w:val="001318A8"/>
    <w:rsid w:val="0014010F"/>
    <w:rsid w:val="00144192"/>
    <w:rsid w:val="00155458"/>
    <w:rsid w:val="00160371"/>
    <w:rsid w:val="001641D6"/>
    <w:rsid w:val="00173B87"/>
    <w:rsid w:val="0018078F"/>
    <w:rsid w:val="00191488"/>
    <w:rsid w:val="001B1893"/>
    <w:rsid w:val="001D7294"/>
    <w:rsid w:val="001F6D3C"/>
    <w:rsid w:val="00203776"/>
    <w:rsid w:val="002136ED"/>
    <w:rsid w:val="0021716A"/>
    <w:rsid w:val="0021781D"/>
    <w:rsid w:val="0022222B"/>
    <w:rsid w:val="0023091B"/>
    <w:rsid w:val="00233CA5"/>
    <w:rsid w:val="0024533F"/>
    <w:rsid w:val="00252C04"/>
    <w:rsid w:val="00270216"/>
    <w:rsid w:val="002732F5"/>
    <w:rsid w:val="00275802"/>
    <w:rsid w:val="002761EC"/>
    <w:rsid w:val="002850B5"/>
    <w:rsid w:val="00292A08"/>
    <w:rsid w:val="002A006C"/>
    <w:rsid w:val="002B1D8E"/>
    <w:rsid w:val="002C75C7"/>
    <w:rsid w:val="002D14A6"/>
    <w:rsid w:val="002D4F72"/>
    <w:rsid w:val="002E0D51"/>
    <w:rsid w:val="002F27E9"/>
    <w:rsid w:val="002F7659"/>
    <w:rsid w:val="003162A9"/>
    <w:rsid w:val="00325336"/>
    <w:rsid w:val="00327383"/>
    <w:rsid w:val="00350811"/>
    <w:rsid w:val="003539C7"/>
    <w:rsid w:val="00353CAF"/>
    <w:rsid w:val="00356FC8"/>
    <w:rsid w:val="003A004E"/>
    <w:rsid w:val="003A1646"/>
    <w:rsid w:val="003A33E8"/>
    <w:rsid w:val="003B5EBD"/>
    <w:rsid w:val="003C646A"/>
    <w:rsid w:val="003D3533"/>
    <w:rsid w:val="003D4C90"/>
    <w:rsid w:val="004012D6"/>
    <w:rsid w:val="0041482F"/>
    <w:rsid w:val="00421D52"/>
    <w:rsid w:val="00422848"/>
    <w:rsid w:val="00427D9F"/>
    <w:rsid w:val="00453952"/>
    <w:rsid w:val="00464932"/>
    <w:rsid w:val="004768FB"/>
    <w:rsid w:val="0048341C"/>
    <w:rsid w:val="0048511E"/>
    <w:rsid w:val="00492A87"/>
    <w:rsid w:val="004A650D"/>
    <w:rsid w:val="004B158E"/>
    <w:rsid w:val="004D1FC7"/>
    <w:rsid w:val="004D5BF4"/>
    <w:rsid w:val="004E0AC7"/>
    <w:rsid w:val="004F6519"/>
    <w:rsid w:val="00502AA5"/>
    <w:rsid w:val="00503DA1"/>
    <w:rsid w:val="005141B3"/>
    <w:rsid w:val="00514ACC"/>
    <w:rsid w:val="00527811"/>
    <w:rsid w:val="005317FD"/>
    <w:rsid w:val="00544758"/>
    <w:rsid w:val="0055725A"/>
    <w:rsid w:val="005654F5"/>
    <w:rsid w:val="005658A0"/>
    <w:rsid w:val="005776BC"/>
    <w:rsid w:val="00577F8A"/>
    <w:rsid w:val="005873A3"/>
    <w:rsid w:val="005A3297"/>
    <w:rsid w:val="005B2791"/>
    <w:rsid w:val="005C19D9"/>
    <w:rsid w:val="005C70A9"/>
    <w:rsid w:val="005C7515"/>
    <w:rsid w:val="005D729E"/>
    <w:rsid w:val="005F5642"/>
    <w:rsid w:val="006036D1"/>
    <w:rsid w:val="00626BB3"/>
    <w:rsid w:val="00643E1D"/>
    <w:rsid w:val="006569B2"/>
    <w:rsid w:val="00673015"/>
    <w:rsid w:val="00690683"/>
    <w:rsid w:val="00694ABB"/>
    <w:rsid w:val="006B35D9"/>
    <w:rsid w:val="006B39D4"/>
    <w:rsid w:val="006D0EAA"/>
    <w:rsid w:val="006D21BF"/>
    <w:rsid w:val="006D62EB"/>
    <w:rsid w:val="006D73CE"/>
    <w:rsid w:val="006F502D"/>
    <w:rsid w:val="00712E4B"/>
    <w:rsid w:val="007172AC"/>
    <w:rsid w:val="007271F6"/>
    <w:rsid w:val="0073373C"/>
    <w:rsid w:val="00734D78"/>
    <w:rsid w:val="00743918"/>
    <w:rsid w:val="00773AC2"/>
    <w:rsid w:val="00782D42"/>
    <w:rsid w:val="00783E56"/>
    <w:rsid w:val="007A086D"/>
    <w:rsid w:val="007A3FB0"/>
    <w:rsid w:val="007B2533"/>
    <w:rsid w:val="007D3E92"/>
    <w:rsid w:val="007D59B0"/>
    <w:rsid w:val="007F1D9C"/>
    <w:rsid w:val="007F518E"/>
    <w:rsid w:val="008012B7"/>
    <w:rsid w:val="00802E59"/>
    <w:rsid w:val="008413E1"/>
    <w:rsid w:val="00842D44"/>
    <w:rsid w:val="00843540"/>
    <w:rsid w:val="00847A26"/>
    <w:rsid w:val="00855F39"/>
    <w:rsid w:val="00877AF1"/>
    <w:rsid w:val="0088003C"/>
    <w:rsid w:val="00881651"/>
    <w:rsid w:val="008B589E"/>
    <w:rsid w:val="008C4D81"/>
    <w:rsid w:val="008D76C0"/>
    <w:rsid w:val="008D7C42"/>
    <w:rsid w:val="008F434A"/>
    <w:rsid w:val="009173D8"/>
    <w:rsid w:val="00920581"/>
    <w:rsid w:val="00923C84"/>
    <w:rsid w:val="00924FF2"/>
    <w:rsid w:val="009261FB"/>
    <w:rsid w:val="00937F79"/>
    <w:rsid w:val="0095028A"/>
    <w:rsid w:val="00953616"/>
    <w:rsid w:val="00961354"/>
    <w:rsid w:val="009743CD"/>
    <w:rsid w:val="009779E0"/>
    <w:rsid w:val="0099351A"/>
    <w:rsid w:val="009D4321"/>
    <w:rsid w:val="009D6199"/>
    <w:rsid w:val="009D7CB0"/>
    <w:rsid w:val="009E0604"/>
    <w:rsid w:val="009E6DE5"/>
    <w:rsid w:val="00A2568F"/>
    <w:rsid w:val="00A35D8F"/>
    <w:rsid w:val="00A43E4F"/>
    <w:rsid w:val="00A4775E"/>
    <w:rsid w:val="00A57B22"/>
    <w:rsid w:val="00A61CED"/>
    <w:rsid w:val="00A74192"/>
    <w:rsid w:val="00A824A2"/>
    <w:rsid w:val="00A91C99"/>
    <w:rsid w:val="00AA5907"/>
    <w:rsid w:val="00AB118C"/>
    <w:rsid w:val="00AB4ED7"/>
    <w:rsid w:val="00AC440B"/>
    <w:rsid w:val="00AD17BB"/>
    <w:rsid w:val="00AE52A9"/>
    <w:rsid w:val="00AF500B"/>
    <w:rsid w:val="00B132F8"/>
    <w:rsid w:val="00B2782B"/>
    <w:rsid w:val="00B3776D"/>
    <w:rsid w:val="00B434DA"/>
    <w:rsid w:val="00B4693B"/>
    <w:rsid w:val="00B72231"/>
    <w:rsid w:val="00B77116"/>
    <w:rsid w:val="00B910D6"/>
    <w:rsid w:val="00B969BD"/>
    <w:rsid w:val="00BA58BF"/>
    <w:rsid w:val="00BB47FD"/>
    <w:rsid w:val="00BC2D77"/>
    <w:rsid w:val="00C04F0E"/>
    <w:rsid w:val="00C05967"/>
    <w:rsid w:val="00C06F57"/>
    <w:rsid w:val="00C11C96"/>
    <w:rsid w:val="00C12176"/>
    <w:rsid w:val="00C17CE0"/>
    <w:rsid w:val="00C246F3"/>
    <w:rsid w:val="00C2745F"/>
    <w:rsid w:val="00C2790E"/>
    <w:rsid w:val="00C27AB9"/>
    <w:rsid w:val="00C64143"/>
    <w:rsid w:val="00C74ED5"/>
    <w:rsid w:val="00C757A9"/>
    <w:rsid w:val="00C85A7B"/>
    <w:rsid w:val="00C8704A"/>
    <w:rsid w:val="00C97D4D"/>
    <w:rsid w:val="00CB2067"/>
    <w:rsid w:val="00CC1C2E"/>
    <w:rsid w:val="00CD763C"/>
    <w:rsid w:val="00CE74AD"/>
    <w:rsid w:val="00CF3C03"/>
    <w:rsid w:val="00D05592"/>
    <w:rsid w:val="00D24596"/>
    <w:rsid w:val="00D25B95"/>
    <w:rsid w:val="00D25F71"/>
    <w:rsid w:val="00D3258A"/>
    <w:rsid w:val="00D42531"/>
    <w:rsid w:val="00D550D7"/>
    <w:rsid w:val="00D76319"/>
    <w:rsid w:val="00D969D2"/>
    <w:rsid w:val="00DA4475"/>
    <w:rsid w:val="00DB3077"/>
    <w:rsid w:val="00DB7605"/>
    <w:rsid w:val="00DB7CD3"/>
    <w:rsid w:val="00DB7F21"/>
    <w:rsid w:val="00DD00B1"/>
    <w:rsid w:val="00DD077C"/>
    <w:rsid w:val="00DD1C76"/>
    <w:rsid w:val="00DE2090"/>
    <w:rsid w:val="00DE5DA3"/>
    <w:rsid w:val="00DF7A12"/>
    <w:rsid w:val="00E119B7"/>
    <w:rsid w:val="00E65A15"/>
    <w:rsid w:val="00E7721C"/>
    <w:rsid w:val="00E80AA8"/>
    <w:rsid w:val="00E95706"/>
    <w:rsid w:val="00EA40E1"/>
    <w:rsid w:val="00EE1E25"/>
    <w:rsid w:val="00EF2E1D"/>
    <w:rsid w:val="00EF6860"/>
    <w:rsid w:val="00EF68EB"/>
    <w:rsid w:val="00F1792E"/>
    <w:rsid w:val="00F2008C"/>
    <w:rsid w:val="00F234D2"/>
    <w:rsid w:val="00F27E41"/>
    <w:rsid w:val="00F41322"/>
    <w:rsid w:val="00F42338"/>
    <w:rsid w:val="00F60872"/>
    <w:rsid w:val="00F65320"/>
    <w:rsid w:val="00F759EA"/>
    <w:rsid w:val="00F912B3"/>
    <w:rsid w:val="00FA49E4"/>
    <w:rsid w:val="00FA4AE2"/>
    <w:rsid w:val="00FB1BC5"/>
    <w:rsid w:val="00FB778E"/>
    <w:rsid w:val="00FC3D97"/>
    <w:rsid w:val="00FC4D74"/>
    <w:rsid w:val="00FC59D2"/>
    <w:rsid w:val="00FD37C4"/>
    <w:rsid w:val="00FD3E68"/>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0606B-0158-4D23-9139-FA2ABCF0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6</cp:revision>
  <cp:lastPrinted>2002-04-23T09:10:00Z</cp:lastPrinted>
  <dcterms:created xsi:type="dcterms:W3CDTF">2019-08-12T16:44:00Z</dcterms:created>
  <dcterms:modified xsi:type="dcterms:W3CDTF">2019-08-16T09:31:00Z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